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71" w:rsidRDefault="00E81348" w:rsidP="00E81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НОРМАТИВНОЕ РЕГУЛИРОВАНИЕ СЕЙСМОСТОЙКОСТИ ОБЪЕКТОВ ЭЛЕКТРОЭНЕРГЕТИКИ И ГИДРОТЕХНИЧЕСКИХ СООРУЖЕНИЙ</w:t>
      </w:r>
    </w:p>
    <w:p w:rsidR="00E81348" w:rsidRPr="00E81348" w:rsidRDefault="00E81348" w:rsidP="00E81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B60" w:rsidRPr="003111F0" w:rsidRDefault="00BE2B60" w:rsidP="00B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48">
        <w:rPr>
          <w:rFonts w:ascii="Times New Roman" w:hAnsi="Times New Roman" w:cs="Times New Roman"/>
          <w:b/>
          <w:bCs/>
          <w:sz w:val="24"/>
          <w:szCs w:val="24"/>
        </w:rPr>
        <w:t xml:space="preserve">И.В. </w:t>
      </w:r>
      <w:proofErr w:type="spellStart"/>
      <w:r w:rsidR="00B36157" w:rsidRPr="00E81348">
        <w:rPr>
          <w:rFonts w:ascii="Times New Roman" w:hAnsi="Times New Roman" w:cs="Times New Roman"/>
          <w:b/>
          <w:bCs/>
          <w:sz w:val="24"/>
          <w:szCs w:val="24"/>
        </w:rPr>
        <w:t>Калиберда</w:t>
      </w:r>
      <w:proofErr w:type="spellEnd"/>
      <w:r w:rsidR="00ED3F5C" w:rsidRPr="003111F0">
        <w:rPr>
          <w:rFonts w:ascii="Times New Roman" w:hAnsi="Times New Roman" w:cs="Times New Roman"/>
          <w:bCs/>
          <w:sz w:val="24"/>
          <w:szCs w:val="24"/>
        </w:rPr>
        <w:t>,</w:t>
      </w:r>
      <w:r w:rsidR="00B36157" w:rsidRPr="003111F0">
        <w:rPr>
          <w:rFonts w:ascii="Times New Roman" w:hAnsi="Times New Roman" w:cs="Times New Roman"/>
          <w:sz w:val="24"/>
          <w:szCs w:val="24"/>
        </w:rPr>
        <w:t xml:space="preserve"> 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д-р </w:t>
      </w:r>
      <w:proofErr w:type="spellStart"/>
      <w:r w:rsidR="00E81348"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 w:rsidR="00E81348">
        <w:rPr>
          <w:rFonts w:ascii="Times New Roman" w:hAnsi="Times New Roman" w:cs="Times New Roman"/>
          <w:bCs/>
          <w:sz w:val="24"/>
          <w:szCs w:val="24"/>
        </w:rPr>
        <w:t>.</w:t>
      </w:r>
      <w:r w:rsidRPr="003111F0">
        <w:rPr>
          <w:rFonts w:ascii="Times New Roman" w:hAnsi="Times New Roman" w:cs="Times New Roman"/>
          <w:bCs/>
          <w:sz w:val="24"/>
          <w:szCs w:val="24"/>
        </w:rPr>
        <w:t xml:space="preserve"> наук,</w:t>
      </w:r>
    </w:p>
    <w:p w:rsidR="00B36157" w:rsidRPr="003111F0" w:rsidRDefault="00E81348" w:rsidP="00E813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10DBE" w:rsidRPr="003111F0">
        <w:rPr>
          <w:rFonts w:ascii="Times New Roman" w:hAnsi="Times New Roman" w:cs="Times New Roman"/>
          <w:bCs/>
          <w:sz w:val="24"/>
          <w:szCs w:val="24"/>
        </w:rPr>
        <w:t>ФБУ НТЦ «</w:t>
      </w:r>
      <w:proofErr w:type="spellStart"/>
      <w:r w:rsidR="00910DBE" w:rsidRPr="003111F0">
        <w:rPr>
          <w:rFonts w:ascii="Times New Roman" w:hAnsi="Times New Roman" w:cs="Times New Roman"/>
          <w:bCs/>
          <w:sz w:val="24"/>
          <w:szCs w:val="24"/>
        </w:rPr>
        <w:t>Энергобезопасность</w:t>
      </w:r>
      <w:proofErr w:type="spellEnd"/>
      <w:r w:rsidR="00910DBE" w:rsidRPr="003111F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0DBE" w:rsidRPr="00B36157" w:rsidRDefault="00910DBE" w:rsidP="00C7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48" w:rsidRPr="00E81348" w:rsidRDefault="00E81348" w:rsidP="00C5301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81348">
        <w:rPr>
          <w:b/>
          <w:color w:val="000000"/>
        </w:rPr>
        <w:t>Аннотация</w:t>
      </w:r>
      <w:r>
        <w:rPr>
          <w:b/>
          <w:color w:val="000000"/>
        </w:rPr>
        <w:t>.</w:t>
      </w:r>
      <w:r w:rsidRPr="00E81348">
        <w:rPr>
          <w:color w:val="000000"/>
        </w:rPr>
        <w:t xml:space="preserve"> В докладе рассматривается вопрос обеспечения безопасности при землетрясениях объектов электроэнергетики и гидротехнических сооружений</w:t>
      </w:r>
      <w:r>
        <w:rPr>
          <w:b/>
          <w:color w:val="000000"/>
        </w:rPr>
        <w:t xml:space="preserve">. </w:t>
      </w:r>
      <w:r w:rsidRPr="00E81348">
        <w:rPr>
          <w:color w:val="000000"/>
        </w:rPr>
        <w:t>Обосновывается необходимость развития нормативной базы федерального уровня, устанавливающей требования безопасности при землетрясениях объектов электроэнергетики и гидротехнических сооружений с учетом их особенностей и значимости для энергетической безопасности Российской Федерации</w:t>
      </w:r>
    </w:p>
    <w:p w:rsidR="00E81348" w:rsidRPr="00E81348" w:rsidRDefault="00E81348" w:rsidP="00C5301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81348">
        <w:rPr>
          <w:b/>
          <w:color w:val="000000"/>
        </w:rPr>
        <w:t>Ключевые слова</w:t>
      </w:r>
      <w:r>
        <w:rPr>
          <w:b/>
          <w:color w:val="000000"/>
        </w:rPr>
        <w:t xml:space="preserve">: </w:t>
      </w:r>
      <w:bookmarkStart w:id="0" w:name="_GoBack"/>
      <w:proofErr w:type="spellStart"/>
      <w:r w:rsidR="00470726" w:rsidRPr="00470726">
        <w:rPr>
          <w:color w:val="000000"/>
        </w:rPr>
        <w:t>сейсмобезопасность</w:t>
      </w:r>
      <w:proofErr w:type="spellEnd"/>
      <w:r w:rsidR="00470726" w:rsidRPr="00470726">
        <w:rPr>
          <w:color w:val="000000"/>
        </w:rPr>
        <w:t>, защита сооружений при землетрясениях, гидротехнические сооружения, объекты электроэнергетики.</w:t>
      </w:r>
      <w:bookmarkEnd w:id="0"/>
    </w:p>
    <w:p w:rsidR="00E81348" w:rsidRDefault="00E81348" w:rsidP="00C5301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43FD" w:rsidRDefault="00973D39" w:rsidP="00C5301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F69E5">
        <w:rPr>
          <w:color w:val="000000"/>
        </w:rPr>
        <w:t>Территория Российской Федерации</w:t>
      </w:r>
      <w:r w:rsidR="000B0C48">
        <w:rPr>
          <w:color w:val="000000"/>
        </w:rPr>
        <w:t xml:space="preserve"> </w:t>
      </w:r>
      <w:r w:rsidRPr="003F69E5">
        <w:rPr>
          <w:color w:val="000000"/>
        </w:rPr>
        <w:t xml:space="preserve">в целом характеризуется умеренной сейсмичностью. Исключение составляют </w:t>
      </w:r>
      <w:r w:rsidR="008C1E3A">
        <w:rPr>
          <w:color w:val="000000"/>
        </w:rPr>
        <w:t>отдельные регионы России</w:t>
      </w:r>
      <w:r w:rsidR="002661EE">
        <w:rPr>
          <w:color w:val="000000"/>
        </w:rPr>
        <w:t>, на территориях которых могут случ</w:t>
      </w:r>
      <w:r w:rsidR="000B0C48">
        <w:rPr>
          <w:color w:val="000000"/>
        </w:rPr>
        <w:t>а</w:t>
      </w:r>
      <w:r w:rsidR="002661EE">
        <w:rPr>
          <w:color w:val="000000"/>
        </w:rPr>
        <w:t>ться сильные землетрясения. Тем не менее</w:t>
      </w:r>
      <w:r w:rsidR="000B0C48">
        <w:rPr>
          <w:color w:val="000000"/>
        </w:rPr>
        <w:t>,</w:t>
      </w:r>
      <w:r w:rsidR="00E81348">
        <w:rPr>
          <w:color w:val="000000"/>
        </w:rPr>
        <w:t xml:space="preserve"> </w:t>
      </w:r>
      <w:r w:rsidR="002661EE">
        <w:rPr>
          <w:color w:val="000000"/>
        </w:rPr>
        <w:t>в</w:t>
      </w:r>
      <w:r w:rsidR="006B0FAA" w:rsidRPr="00F2088A">
        <w:rPr>
          <w:color w:val="000000"/>
        </w:rPr>
        <w:t xml:space="preserve"> России имеется достаточно большое количество мест, где периодически возникают </w:t>
      </w:r>
      <w:r w:rsidR="00696DC4">
        <w:rPr>
          <w:color w:val="000000"/>
        </w:rPr>
        <w:t xml:space="preserve">непосредственно </w:t>
      </w:r>
      <w:r w:rsidR="006B0FAA" w:rsidRPr="00F2088A">
        <w:rPr>
          <w:color w:val="000000"/>
        </w:rPr>
        <w:t>землетрясения</w:t>
      </w:r>
      <w:r w:rsidR="00696DC4">
        <w:rPr>
          <w:color w:val="000000"/>
        </w:rPr>
        <w:t xml:space="preserve"> или сейсмические колебания грунта от удалённых источников землетрясений различной интенсивности</w:t>
      </w:r>
      <w:r w:rsidR="006B0FAA" w:rsidRPr="00F2088A">
        <w:rPr>
          <w:color w:val="000000"/>
        </w:rPr>
        <w:t>.</w:t>
      </w:r>
      <w:r w:rsidR="006B0FAA" w:rsidRPr="00A25E2C">
        <w:rPr>
          <w:color w:val="000000"/>
        </w:rPr>
        <w:t xml:space="preserve"> </w:t>
      </w:r>
      <w:r w:rsidR="00792068">
        <w:rPr>
          <w:color w:val="000000"/>
        </w:rPr>
        <w:t>Землетрясения часто сопровождаются</w:t>
      </w:r>
      <w:r w:rsidR="00E81348">
        <w:rPr>
          <w:color w:val="000000"/>
        </w:rPr>
        <w:t xml:space="preserve"> </w:t>
      </w:r>
      <w:r w:rsidR="006D3443">
        <w:rPr>
          <w:color w:val="000000"/>
        </w:rPr>
        <w:t xml:space="preserve">авариями на </w:t>
      </w:r>
      <w:r w:rsidR="000B0C48">
        <w:rPr>
          <w:color w:val="000000"/>
        </w:rPr>
        <w:t>объектах электроэнергетики</w:t>
      </w:r>
      <w:r w:rsidR="00766C7F">
        <w:rPr>
          <w:color w:val="000000"/>
        </w:rPr>
        <w:t xml:space="preserve"> и гидротехнических сооружениях, размещённых на них опасных производственных объектах,</w:t>
      </w:r>
      <w:r w:rsidR="000B0C48">
        <w:rPr>
          <w:color w:val="000000"/>
        </w:rPr>
        <w:t xml:space="preserve"> </w:t>
      </w:r>
      <w:r w:rsidR="00DA0F63">
        <w:rPr>
          <w:color w:val="000000"/>
        </w:rPr>
        <w:t>потерей электроснабжения</w:t>
      </w:r>
      <w:r w:rsidR="006D3443">
        <w:rPr>
          <w:color w:val="000000"/>
        </w:rPr>
        <w:t>, пожарами</w:t>
      </w:r>
      <w:r w:rsidR="00E81348">
        <w:rPr>
          <w:color w:val="000000"/>
        </w:rPr>
        <w:t xml:space="preserve"> </w:t>
      </w:r>
      <w:r w:rsidR="006D3443">
        <w:rPr>
          <w:color w:val="000000"/>
        </w:rPr>
        <w:t>и другими событиями</w:t>
      </w:r>
      <w:r w:rsidR="006A43DC">
        <w:rPr>
          <w:color w:val="000000"/>
        </w:rPr>
        <w:t xml:space="preserve"> с тяжёлыми последствиями для окружающей среды и населения</w:t>
      </w:r>
      <w:r w:rsidR="00792068">
        <w:rPr>
          <w:color w:val="000000"/>
        </w:rPr>
        <w:t>.</w:t>
      </w:r>
      <w:r w:rsidR="000B0C48">
        <w:rPr>
          <w:color w:val="000000"/>
        </w:rPr>
        <w:t xml:space="preserve"> Нередко причина аварии на объекте электроэнергетике и гидротехнических сооружениях </w:t>
      </w:r>
      <w:r w:rsidR="00561B5D">
        <w:rPr>
          <w:color w:val="000000"/>
        </w:rPr>
        <w:t>не идентифицируется</w:t>
      </w:r>
      <w:r w:rsidR="00F8626E">
        <w:rPr>
          <w:color w:val="000000"/>
        </w:rPr>
        <w:t>,</w:t>
      </w:r>
      <w:r w:rsidR="00E81348">
        <w:rPr>
          <w:color w:val="000000"/>
        </w:rPr>
        <w:t xml:space="preserve"> </w:t>
      </w:r>
      <w:r w:rsidR="00561B5D">
        <w:rPr>
          <w:color w:val="000000"/>
        </w:rPr>
        <w:t>как исходное событие аварии по причине сейсмически</w:t>
      </w:r>
      <w:r w:rsidR="00696DC4">
        <w:rPr>
          <w:color w:val="000000"/>
        </w:rPr>
        <w:t>х</w:t>
      </w:r>
      <w:r w:rsidR="00561B5D">
        <w:rPr>
          <w:color w:val="000000"/>
        </w:rPr>
        <w:t xml:space="preserve"> колебани</w:t>
      </w:r>
      <w:r w:rsidR="002D5325">
        <w:rPr>
          <w:color w:val="000000"/>
        </w:rPr>
        <w:t>й грунта</w:t>
      </w:r>
      <w:r w:rsidR="00F8626E">
        <w:rPr>
          <w:color w:val="000000"/>
        </w:rPr>
        <w:t>. Объекты электроэнергетики, включая гидротехнические сооружения</w:t>
      </w:r>
      <w:r w:rsidR="00456CE5">
        <w:rPr>
          <w:color w:val="000000"/>
        </w:rPr>
        <w:t>,</w:t>
      </w:r>
      <w:r w:rsidR="00E81348">
        <w:rPr>
          <w:color w:val="000000"/>
        </w:rPr>
        <w:t xml:space="preserve"> </w:t>
      </w:r>
      <w:r w:rsidR="00561B5D">
        <w:rPr>
          <w:color w:val="000000"/>
        </w:rPr>
        <w:t>являются технически сложными объектами</w:t>
      </w:r>
      <w:r w:rsidR="000B0C48">
        <w:rPr>
          <w:color w:val="000000"/>
        </w:rPr>
        <w:t xml:space="preserve">, </w:t>
      </w:r>
      <w:r w:rsidR="00561B5D">
        <w:rPr>
          <w:color w:val="000000"/>
        </w:rPr>
        <w:t>для которых цепочк</w:t>
      </w:r>
      <w:r w:rsidR="002D5325">
        <w:rPr>
          <w:color w:val="000000"/>
        </w:rPr>
        <w:t>у</w:t>
      </w:r>
      <w:r w:rsidR="00561B5D">
        <w:rPr>
          <w:color w:val="000000"/>
        </w:rPr>
        <w:t xml:space="preserve"> аварийных последовательностей трудно </w:t>
      </w:r>
      <w:r w:rsidR="002D5325">
        <w:rPr>
          <w:color w:val="000000"/>
        </w:rPr>
        <w:t xml:space="preserve">полно описать, </w:t>
      </w:r>
      <w:r w:rsidR="00F8626E">
        <w:rPr>
          <w:color w:val="000000"/>
        </w:rPr>
        <w:t>в том числе</w:t>
      </w:r>
      <w:r w:rsidR="00E81348">
        <w:rPr>
          <w:color w:val="000000"/>
        </w:rPr>
        <w:t xml:space="preserve"> </w:t>
      </w:r>
      <w:r w:rsidR="002D5325">
        <w:rPr>
          <w:color w:val="000000"/>
        </w:rPr>
        <w:t>по причине недостаточных знаний о</w:t>
      </w:r>
      <w:r w:rsidR="00697566">
        <w:rPr>
          <w:color w:val="000000"/>
        </w:rPr>
        <w:t xml:space="preserve"> проявлениях воздействий</w:t>
      </w:r>
      <w:r w:rsidR="00E81348">
        <w:rPr>
          <w:color w:val="000000"/>
        </w:rPr>
        <w:t xml:space="preserve"> </w:t>
      </w:r>
      <w:r w:rsidR="00697566">
        <w:rPr>
          <w:color w:val="000000"/>
        </w:rPr>
        <w:t>колебаний грунта на узлы, системы и элементы</w:t>
      </w:r>
      <w:r w:rsidR="000C1278">
        <w:rPr>
          <w:color w:val="000000"/>
        </w:rPr>
        <w:t>, важные для безопасности</w:t>
      </w:r>
      <w:r w:rsidR="00E81348">
        <w:rPr>
          <w:color w:val="000000"/>
        </w:rPr>
        <w:t xml:space="preserve"> </w:t>
      </w:r>
      <w:r w:rsidR="00697566">
        <w:rPr>
          <w:color w:val="000000"/>
        </w:rPr>
        <w:t>технически сложного объекта.</w:t>
      </w:r>
      <w:r w:rsidR="00792068">
        <w:rPr>
          <w:color w:val="000000"/>
        </w:rPr>
        <w:t xml:space="preserve"> </w:t>
      </w:r>
    </w:p>
    <w:p w:rsidR="00F7122D" w:rsidRDefault="00AF43FD" w:rsidP="003708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35D">
        <w:rPr>
          <w:rFonts w:ascii="Times New Roman" w:hAnsi="Times New Roman" w:cs="Times New Roman"/>
          <w:bCs/>
          <w:sz w:val="24"/>
          <w:szCs w:val="24"/>
        </w:rPr>
        <w:t xml:space="preserve">Объекты электроэнергетики размещены </w:t>
      </w:r>
      <w:r w:rsidR="00402B42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4235D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402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953">
        <w:rPr>
          <w:rFonts w:ascii="Times New Roman" w:hAnsi="Times New Roman" w:cs="Times New Roman"/>
          <w:bCs/>
          <w:sz w:val="24"/>
          <w:szCs w:val="24"/>
        </w:rPr>
        <w:t>повсеместно</w:t>
      </w:r>
      <w:r w:rsidR="008D4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B42">
        <w:rPr>
          <w:rFonts w:ascii="Times New Roman" w:hAnsi="Times New Roman" w:cs="Times New Roman"/>
          <w:bCs/>
          <w:sz w:val="24"/>
          <w:szCs w:val="24"/>
        </w:rPr>
        <w:t xml:space="preserve">с различной </w:t>
      </w:r>
      <w:r w:rsidR="00417953">
        <w:rPr>
          <w:rFonts w:ascii="Times New Roman" w:hAnsi="Times New Roman" w:cs="Times New Roman"/>
          <w:bCs/>
          <w:sz w:val="24"/>
          <w:szCs w:val="24"/>
        </w:rPr>
        <w:t>равномерностью</w:t>
      </w:r>
      <w:r w:rsidR="000913A0">
        <w:rPr>
          <w:rFonts w:ascii="Times New Roman" w:hAnsi="Times New Roman" w:cs="Times New Roman"/>
          <w:bCs/>
          <w:sz w:val="24"/>
          <w:szCs w:val="24"/>
        </w:rPr>
        <w:t>.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>Были выполнены предварительные оценки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>возможной уязвимости объектов электроэнергетики</w:t>
      </w:r>
      <w:r w:rsidR="002661EE">
        <w:rPr>
          <w:rFonts w:ascii="Times New Roman" w:hAnsi="Times New Roman" w:cs="Times New Roman"/>
          <w:bCs/>
          <w:sz w:val="24"/>
          <w:szCs w:val="24"/>
        </w:rPr>
        <w:t xml:space="preserve"> и гидротехнических сооружений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>при землетрясениях</w:t>
      </w:r>
      <w:r w:rsidR="00370880">
        <w:rPr>
          <w:rFonts w:ascii="Times New Roman" w:hAnsi="Times New Roman" w:cs="Times New Roman"/>
          <w:bCs/>
          <w:sz w:val="24"/>
          <w:szCs w:val="24"/>
        </w:rPr>
        <w:t>.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F50">
        <w:rPr>
          <w:rFonts w:ascii="Times New Roman" w:hAnsi="Times New Roman" w:cs="Times New Roman"/>
          <w:bCs/>
          <w:sz w:val="24"/>
          <w:szCs w:val="24"/>
        </w:rPr>
        <w:t>Д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="009C20BC">
        <w:rPr>
          <w:rFonts w:ascii="Times New Roman" w:hAnsi="Times New Roman" w:cs="Times New Roman"/>
          <w:bCs/>
          <w:sz w:val="24"/>
          <w:szCs w:val="24"/>
        </w:rPr>
        <w:t xml:space="preserve">оценки условий размещения конкретных 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 xml:space="preserve">объектов </w:t>
      </w:r>
      <w:r w:rsidR="000B27C4" w:rsidRPr="00E4235D">
        <w:rPr>
          <w:rFonts w:ascii="Times New Roman" w:hAnsi="Times New Roman" w:cs="Times New Roman"/>
          <w:bCs/>
          <w:sz w:val="24"/>
          <w:szCs w:val="24"/>
        </w:rPr>
        <w:t>э</w:t>
      </w:r>
      <w:r w:rsidR="000B27C4">
        <w:rPr>
          <w:rFonts w:ascii="Times New Roman" w:hAnsi="Times New Roman" w:cs="Times New Roman"/>
          <w:bCs/>
          <w:sz w:val="24"/>
          <w:szCs w:val="24"/>
        </w:rPr>
        <w:t>лектро</w:t>
      </w:r>
      <w:r w:rsidR="000B27C4" w:rsidRPr="00E4235D">
        <w:rPr>
          <w:rFonts w:ascii="Times New Roman" w:hAnsi="Times New Roman" w:cs="Times New Roman"/>
          <w:bCs/>
          <w:sz w:val="24"/>
          <w:szCs w:val="24"/>
        </w:rPr>
        <w:t>энергетики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 xml:space="preserve"> принималась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 xml:space="preserve">карта </w:t>
      </w:r>
      <w:r w:rsidR="00885F50">
        <w:rPr>
          <w:rFonts w:ascii="Times New Roman" w:hAnsi="Times New Roman" w:cs="Times New Roman"/>
          <w:bCs/>
          <w:sz w:val="24"/>
          <w:szCs w:val="24"/>
        </w:rPr>
        <w:t xml:space="preserve">общего </w:t>
      </w:r>
      <w:r w:rsidR="00D66513">
        <w:rPr>
          <w:rFonts w:ascii="Times New Roman" w:hAnsi="Times New Roman" w:cs="Times New Roman"/>
          <w:bCs/>
          <w:sz w:val="24"/>
          <w:szCs w:val="24"/>
        </w:rPr>
        <w:t xml:space="preserve">сейсмического районирования 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>ОСР- 97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F50">
        <w:rPr>
          <w:rFonts w:ascii="Times New Roman" w:hAnsi="Times New Roman" w:cs="Times New Roman"/>
          <w:bCs/>
          <w:sz w:val="24"/>
          <w:szCs w:val="24"/>
        </w:rPr>
        <w:t xml:space="preserve">(карта 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>С</w:t>
      </w:r>
      <w:r w:rsidR="00885F50">
        <w:rPr>
          <w:rFonts w:ascii="Times New Roman" w:hAnsi="Times New Roman" w:cs="Times New Roman"/>
          <w:bCs/>
          <w:sz w:val="24"/>
          <w:szCs w:val="24"/>
        </w:rPr>
        <w:t>)</w:t>
      </w:r>
      <w:r w:rsidR="003A1CB6" w:rsidRPr="00E423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70D1">
        <w:rPr>
          <w:rFonts w:ascii="Times New Roman" w:hAnsi="Times New Roman" w:cs="Times New Roman"/>
          <w:bCs/>
          <w:sz w:val="24"/>
          <w:szCs w:val="24"/>
        </w:rPr>
        <w:t>Установлено, что в</w:t>
      </w:r>
      <w:r w:rsidRPr="00E4235D">
        <w:rPr>
          <w:rFonts w:ascii="Times New Roman" w:hAnsi="Times New Roman" w:cs="Times New Roman"/>
          <w:bCs/>
          <w:sz w:val="24"/>
          <w:szCs w:val="24"/>
        </w:rPr>
        <w:t xml:space="preserve"> зонах высокой сейсмичности (7 и более баллов) размещено 187 </w:t>
      </w:r>
      <w:r w:rsidR="00DE3F3C">
        <w:rPr>
          <w:rFonts w:ascii="Times New Roman" w:hAnsi="Times New Roman" w:cs="Times New Roman"/>
          <w:bCs/>
          <w:sz w:val="24"/>
          <w:szCs w:val="24"/>
        </w:rPr>
        <w:t>гидроэлектростанций</w:t>
      </w:r>
      <w:r w:rsidRPr="00E4235D">
        <w:rPr>
          <w:rFonts w:ascii="Times New Roman" w:hAnsi="Times New Roman" w:cs="Times New Roman"/>
          <w:bCs/>
          <w:sz w:val="24"/>
          <w:szCs w:val="24"/>
        </w:rPr>
        <w:t xml:space="preserve"> различного типа и различной мощности. При этом в зоне с сейсмичностью района 8 баллов и выше размещено 129 объектов. 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 xml:space="preserve">В зонах повышенной сейсмичности (7 баллов и выше) размещено 150 </w:t>
      </w:r>
      <w:r w:rsidR="00DE3F3C">
        <w:rPr>
          <w:rFonts w:ascii="Times New Roman" w:hAnsi="Times New Roman" w:cs="Times New Roman"/>
          <w:bCs/>
          <w:sz w:val="24"/>
          <w:szCs w:val="24"/>
        </w:rPr>
        <w:t>тепловых электростанций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>различного типа и различной мощности, при этом в зоне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 xml:space="preserve">высокой сейсмичности (8 и более баллов) размещено 74 </w:t>
      </w:r>
      <w:r w:rsidR="00DE3F3C">
        <w:rPr>
          <w:rFonts w:ascii="Times New Roman" w:hAnsi="Times New Roman" w:cs="Times New Roman"/>
          <w:bCs/>
          <w:sz w:val="24"/>
          <w:szCs w:val="24"/>
        </w:rPr>
        <w:t>объекта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>.</w:t>
      </w:r>
      <w:r w:rsidR="00EE7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>В зоне повышенной фоновой сейсмичности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 xml:space="preserve">находятся 5 </w:t>
      </w:r>
      <w:proofErr w:type="gramStart"/>
      <w:r w:rsidR="0028158E" w:rsidRPr="00E4235D">
        <w:rPr>
          <w:rFonts w:ascii="Times New Roman" w:hAnsi="Times New Roman" w:cs="Times New Roman"/>
          <w:bCs/>
          <w:sz w:val="24"/>
          <w:szCs w:val="24"/>
        </w:rPr>
        <w:t>геотермальных</w:t>
      </w:r>
      <w:proofErr w:type="gramEnd"/>
      <w:r w:rsidR="0028158E" w:rsidRPr="00E42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F3C">
        <w:rPr>
          <w:rFonts w:ascii="Times New Roman" w:hAnsi="Times New Roman" w:cs="Times New Roman"/>
          <w:bCs/>
          <w:sz w:val="24"/>
          <w:szCs w:val="24"/>
        </w:rPr>
        <w:t xml:space="preserve">тепловых </w:t>
      </w:r>
      <w:r w:rsidR="000B27C4">
        <w:rPr>
          <w:rFonts w:ascii="Times New Roman" w:hAnsi="Times New Roman" w:cs="Times New Roman"/>
          <w:bCs/>
          <w:sz w:val="24"/>
          <w:szCs w:val="24"/>
        </w:rPr>
        <w:t>электростанции</w:t>
      </w:r>
      <w:r w:rsidR="00EE7F31">
        <w:rPr>
          <w:rFonts w:ascii="Times New Roman" w:hAnsi="Times New Roman" w:cs="Times New Roman"/>
          <w:bCs/>
          <w:sz w:val="24"/>
          <w:szCs w:val="24"/>
        </w:rPr>
        <w:t>.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 xml:space="preserve"> В зоне 7 и более баллов размещено 6 объектов ветровой энергетики.</w:t>
      </w:r>
      <w:r w:rsidR="00C53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>Объекты электросетевого хозяйства и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>линии электропередачи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>на территории Российской Федерации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8E" w:rsidRPr="00E4235D">
        <w:rPr>
          <w:rFonts w:ascii="Times New Roman" w:hAnsi="Times New Roman" w:cs="Times New Roman"/>
          <w:bCs/>
          <w:sz w:val="24"/>
          <w:szCs w:val="24"/>
        </w:rPr>
        <w:t>размещены повсеместно</w:t>
      </w:r>
      <w:r w:rsidR="000C1278">
        <w:rPr>
          <w:rFonts w:ascii="Times New Roman" w:hAnsi="Times New Roman" w:cs="Times New Roman"/>
          <w:bCs/>
          <w:sz w:val="24"/>
          <w:szCs w:val="24"/>
        </w:rPr>
        <w:t>, при этом они также уязвимы по причине накопленных дефектов и повреждений от иных природных воздействий.</w:t>
      </w:r>
      <w:r w:rsidR="00233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C7A">
        <w:rPr>
          <w:rFonts w:ascii="Times New Roman" w:hAnsi="Times New Roman" w:cs="Times New Roman"/>
          <w:bCs/>
          <w:sz w:val="24"/>
          <w:szCs w:val="24"/>
        </w:rPr>
        <w:t>Такие выводы могут свидетельствовать о необходимости детальных оценок сейсмостойкости этих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C7A">
        <w:rPr>
          <w:rFonts w:ascii="Times New Roman" w:hAnsi="Times New Roman" w:cs="Times New Roman"/>
          <w:bCs/>
          <w:sz w:val="24"/>
          <w:szCs w:val="24"/>
        </w:rPr>
        <w:t>объектов с учетом уточнённых знаний о сейсмической опасности</w:t>
      </w:r>
      <w:r w:rsidR="00FB3007">
        <w:rPr>
          <w:rFonts w:ascii="Times New Roman" w:hAnsi="Times New Roman" w:cs="Times New Roman"/>
          <w:bCs/>
          <w:sz w:val="24"/>
          <w:szCs w:val="24"/>
        </w:rPr>
        <w:t xml:space="preserve"> на площадках их размещения.</w:t>
      </w:r>
    </w:p>
    <w:p w:rsidR="00B614BE" w:rsidRDefault="00CF05C5" w:rsidP="005071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нас</w:t>
      </w:r>
      <w:r w:rsidR="00935667" w:rsidRPr="00066716">
        <w:rPr>
          <w:color w:val="000000"/>
        </w:rPr>
        <w:t>тоящее время в области электроэнергетики</w:t>
      </w:r>
      <w:r w:rsidR="00E81348">
        <w:rPr>
          <w:color w:val="000000"/>
        </w:rPr>
        <w:t xml:space="preserve"> </w:t>
      </w:r>
      <w:r w:rsidR="007366C1">
        <w:rPr>
          <w:color w:val="000000"/>
        </w:rPr>
        <w:t xml:space="preserve">и гидротехнических сооружений </w:t>
      </w:r>
      <w:r w:rsidR="00935667" w:rsidRPr="00066716">
        <w:rPr>
          <w:color w:val="000000"/>
        </w:rPr>
        <w:t xml:space="preserve">практически нет нормативной базы федерального уровня, </w:t>
      </w:r>
      <w:r>
        <w:rPr>
          <w:color w:val="000000"/>
        </w:rPr>
        <w:t>устанавлива</w:t>
      </w:r>
      <w:r w:rsidR="007366C1">
        <w:rPr>
          <w:color w:val="000000"/>
        </w:rPr>
        <w:t>ющей</w:t>
      </w:r>
      <w:r w:rsidR="00E81348">
        <w:rPr>
          <w:color w:val="000000"/>
        </w:rPr>
        <w:t xml:space="preserve"> </w:t>
      </w:r>
      <w:r w:rsidR="00935667" w:rsidRPr="00066716">
        <w:rPr>
          <w:color w:val="000000"/>
        </w:rPr>
        <w:t>требовани</w:t>
      </w:r>
      <w:r>
        <w:rPr>
          <w:color w:val="000000"/>
        </w:rPr>
        <w:t>я</w:t>
      </w:r>
      <w:r w:rsidR="00935667" w:rsidRPr="00066716">
        <w:rPr>
          <w:color w:val="000000"/>
        </w:rPr>
        <w:t xml:space="preserve"> безопасности </w:t>
      </w:r>
      <w:r w:rsidR="00E86CE7">
        <w:rPr>
          <w:color w:val="000000"/>
        </w:rPr>
        <w:t xml:space="preserve">при землетрясениях </w:t>
      </w:r>
      <w:r w:rsidR="00935667" w:rsidRPr="00066716">
        <w:rPr>
          <w:color w:val="000000"/>
        </w:rPr>
        <w:t xml:space="preserve">объектов электроэнергетики и </w:t>
      </w:r>
      <w:r w:rsidR="007366C1">
        <w:rPr>
          <w:color w:val="000000"/>
        </w:rPr>
        <w:t xml:space="preserve">гидротехнических </w:t>
      </w:r>
      <w:r w:rsidR="007366C1">
        <w:rPr>
          <w:color w:val="000000"/>
        </w:rPr>
        <w:lastRenderedPageBreak/>
        <w:t>сооружений</w:t>
      </w:r>
      <w:r>
        <w:rPr>
          <w:color w:val="000000"/>
        </w:rPr>
        <w:t xml:space="preserve"> с учетом их особенностей и значимости для энергетической безопасности Российской Федерации</w:t>
      </w:r>
      <w:r w:rsidR="007366C1">
        <w:rPr>
          <w:color w:val="000000"/>
        </w:rPr>
        <w:t>, тяжести последствий для насе</w:t>
      </w:r>
      <w:r w:rsidR="00D64A24">
        <w:rPr>
          <w:color w:val="000000"/>
        </w:rPr>
        <w:t xml:space="preserve">ления и окружающей среды при авариях на этих объектах. </w:t>
      </w:r>
      <w:r w:rsidR="00FB3007">
        <w:rPr>
          <w:color w:val="000000"/>
        </w:rPr>
        <w:t xml:space="preserve">В презентации по этой теме будет представлен анализ </w:t>
      </w:r>
      <w:r w:rsidR="004157FE">
        <w:rPr>
          <w:color w:val="000000"/>
        </w:rPr>
        <w:t>полноты и достаточности существующей нормативной базы в приложениях к объектам электроэнергетики и гидротехническим сооружениям.</w:t>
      </w:r>
    </w:p>
    <w:p w:rsidR="008D2AAE" w:rsidRPr="00905779" w:rsidRDefault="00E63C76" w:rsidP="0088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объектов электроэнергетики и гидротехнических сооружений проектировались </w:t>
      </w:r>
      <w:r w:rsidR="005F7E13">
        <w:rPr>
          <w:rFonts w:ascii="Times New Roman" w:hAnsi="Times New Roman" w:cs="Times New Roman"/>
          <w:sz w:val="24"/>
          <w:szCs w:val="24"/>
        </w:rPr>
        <w:t xml:space="preserve">на </w:t>
      </w:r>
      <w:r w:rsidR="00580251">
        <w:rPr>
          <w:rFonts w:ascii="Times New Roman" w:hAnsi="Times New Roman" w:cs="Times New Roman"/>
          <w:sz w:val="24"/>
          <w:szCs w:val="24"/>
        </w:rPr>
        <w:t xml:space="preserve">сейсмические </w:t>
      </w:r>
      <w:r>
        <w:rPr>
          <w:rFonts w:ascii="Times New Roman" w:hAnsi="Times New Roman" w:cs="Times New Roman"/>
          <w:sz w:val="24"/>
          <w:szCs w:val="24"/>
        </w:rPr>
        <w:t>нагрузки</w:t>
      </w:r>
      <w:r w:rsidR="003D39D6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B12BE2">
        <w:rPr>
          <w:rFonts w:ascii="Times New Roman" w:hAnsi="Times New Roman" w:cs="Times New Roman"/>
          <w:sz w:val="24"/>
          <w:szCs w:val="24"/>
        </w:rPr>
        <w:t>карты общего сейсмического районирования – ОСР -</w:t>
      </w:r>
      <w:r w:rsidR="008E6CBE">
        <w:rPr>
          <w:rFonts w:ascii="Times New Roman" w:hAnsi="Times New Roman" w:cs="Times New Roman"/>
          <w:sz w:val="24"/>
          <w:szCs w:val="24"/>
        </w:rPr>
        <w:t xml:space="preserve"> </w:t>
      </w:r>
      <w:r w:rsidR="00B12BE2">
        <w:rPr>
          <w:rFonts w:ascii="Times New Roman" w:hAnsi="Times New Roman" w:cs="Times New Roman"/>
          <w:sz w:val="24"/>
          <w:szCs w:val="24"/>
        </w:rPr>
        <w:t>78</w:t>
      </w:r>
      <w:r w:rsidR="003D39D6">
        <w:rPr>
          <w:rFonts w:ascii="Times New Roman" w:hAnsi="Times New Roman" w:cs="Times New Roman"/>
          <w:sz w:val="24"/>
          <w:szCs w:val="24"/>
        </w:rPr>
        <w:t xml:space="preserve"> или были созданы без учета сейсмической опасности на территории их размещения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4A52">
        <w:rPr>
          <w:rFonts w:ascii="Times New Roman" w:hAnsi="Times New Roman" w:cs="Times New Roman"/>
          <w:sz w:val="24"/>
          <w:szCs w:val="24"/>
        </w:rPr>
        <w:t>Анализ расположения объектов электроэнергетики на сейсмически активных территориях, изменение уровней сейсмичности территорий, старение объектов электроэнергетики не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Pr="00344A52">
        <w:rPr>
          <w:rFonts w:ascii="Times New Roman" w:hAnsi="Times New Roman" w:cs="Times New Roman"/>
          <w:sz w:val="24"/>
          <w:szCs w:val="24"/>
        </w:rPr>
        <w:t>исключают их возможную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Pr="00344A52">
        <w:rPr>
          <w:rFonts w:ascii="Times New Roman" w:hAnsi="Times New Roman" w:cs="Times New Roman"/>
          <w:sz w:val="24"/>
          <w:szCs w:val="24"/>
        </w:rPr>
        <w:t>уязвимость при землетрясениях и связанных с землетрясениями ассоциаци</w:t>
      </w:r>
      <w:r w:rsidR="00580251">
        <w:rPr>
          <w:rFonts w:ascii="Times New Roman" w:hAnsi="Times New Roman" w:cs="Times New Roman"/>
          <w:sz w:val="24"/>
          <w:szCs w:val="24"/>
        </w:rPr>
        <w:t>й</w:t>
      </w:r>
      <w:r w:rsidRPr="00344A52">
        <w:rPr>
          <w:rFonts w:ascii="Times New Roman" w:hAnsi="Times New Roman" w:cs="Times New Roman"/>
          <w:sz w:val="24"/>
          <w:szCs w:val="24"/>
        </w:rPr>
        <w:t xml:space="preserve"> процессов, явлений и факторов природного и техногенного происхождения. </w:t>
      </w:r>
      <w:r>
        <w:rPr>
          <w:rFonts w:ascii="Times New Roman" w:hAnsi="Times New Roman" w:cs="Times New Roman"/>
          <w:bCs/>
          <w:sz w:val="24"/>
          <w:szCs w:val="24"/>
        </w:rPr>
        <w:t>Также необходимо отметить, что многие объекты электроэнергетики имеют большие сроки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Кроме этого, сейсмическая устойчивость объектов электроэнергетики зависит от размещённого на объектах оборудования. </w:t>
      </w:r>
      <w:r w:rsidR="00F57A30">
        <w:rPr>
          <w:rFonts w:ascii="Times New Roman" w:hAnsi="Times New Roman" w:cs="Times New Roman"/>
          <w:sz w:val="24"/>
          <w:szCs w:val="24"/>
        </w:rPr>
        <w:t>Отсутствие необходимых нормативных требований по приведению безопасности находящихся в эксплуатации объектов электроэнергетики и гидротехнических сооружений</w:t>
      </w:r>
      <w:r w:rsidR="00AE1DCD">
        <w:rPr>
          <w:rFonts w:ascii="Times New Roman" w:hAnsi="Times New Roman" w:cs="Times New Roman"/>
          <w:sz w:val="24"/>
          <w:szCs w:val="24"/>
        </w:rPr>
        <w:t xml:space="preserve"> </w:t>
      </w:r>
      <w:r w:rsidR="008E6CBE">
        <w:rPr>
          <w:rFonts w:ascii="Times New Roman" w:hAnsi="Times New Roman" w:cs="Times New Roman"/>
          <w:sz w:val="24"/>
          <w:szCs w:val="24"/>
        </w:rPr>
        <w:t xml:space="preserve">в соответствие с сейсмическими условиями </w:t>
      </w:r>
      <w:r w:rsidR="00AE1DCD">
        <w:rPr>
          <w:rFonts w:ascii="Times New Roman" w:hAnsi="Times New Roman" w:cs="Times New Roman"/>
          <w:sz w:val="24"/>
          <w:szCs w:val="24"/>
        </w:rPr>
        <w:t xml:space="preserve">не обеспечивает проведение оценок их сейсмостойкости и принятие компенсирующих защитных мероприятий. </w:t>
      </w:r>
      <w:proofErr w:type="gramStart"/>
      <w:r w:rsidR="00D21B15" w:rsidRPr="005F7E13">
        <w:rPr>
          <w:rFonts w:ascii="Times New Roman" w:hAnsi="Times New Roman" w:cs="Times New Roman"/>
          <w:sz w:val="24"/>
          <w:szCs w:val="24"/>
        </w:rPr>
        <w:t xml:space="preserve">В </w:t>
      </w:r>
      <w:r w:rsidR="005C5990">
        <w:rPr>
          <w:rFonts w:ascii="Times New Roman" w:hAnsi="Times New Roman" w:cs="Times New Roman"/>
          <w:sz w:val="24"/>
          <w:szCs w:val="24"/>
        </w:rPr>
        <w:t>соответствии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D21B15" w:rsidRPr="005F7E13">
        <w:rPr>
          <w:rFonts w:ascii="Times New Roman" w:hAnsi="Times New Roman" w:cs="Times New Roman"/>
          <w:sz w:val="24"/>
          <w:szCs w:val="24"/>
        </w:rPr>
        <w:t xml:space="preserve">с </w:t>
      </w:r>
      <w:r w:rsidR="002B15BB">
        <w:rPr>
          <w:rFonts w:ascii="Times New Roman" w:hAnsi="Times New Roman" w:cs="Times New Roman"/>
          <w:sz w:val="24"/>
          <w:szCs w:val="24"/>
        </w:rPr>
        <w:t xml:space="preserve">полученными </w:t>
      </w:r>
      <w:r w:rsidRPr="005F7E13">
        <w:rPr>
          <w:rFonts w:ascii="Times New Roman" w:hAnsi="Times New Roman" w:cs="Times New Roman"/>
          <w:sz w:val="24"/>
          <w:szCs w:val="24"/>
        </w:rPr>
        <w:t xml:space="preserve">результатами исследований </w:t>
      </w:r>
      <w:r w:rsidR="00697A8A" w:rsidRPr="005F7E13">
        <w:rPr>
          <w:rFonts w:ascii="Times New Roman" w:hAnsi="Times New Roman" w:cs="Times New Roman"/>
          <w:sz w:val="24"/>
          <w:szCs w:val="24"/>
        </w:rPr>
        <w:t>и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Pr="005F7E13">
        <w:rPr>
          <w:rFonts w:ascii="Times New Roman" w:hAnsi="Times New Roman" w:cs="Times New Roman"/>
          <w:sz w:val="24"/>
          <w:szCs w:val="24"/>
        </w:rPr>
        <w:t xml:space="preserve">обоснованиями актуальности </w:t>
      </w:r>
      <w:r w:rsidR="008D2AAE">
        <w:rPr>
          <w:rFonts w:ascii="Times New Roman" w:hAnsi="Times New Roman" w:cs="Times New Roman"/>
          <w:sz w:val="24"/>
          <w:szCs w:val="24"/>
        </w:rPr>
        <w:t>выполнена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D21B15" w:rsidRPr="005F7E13">
        <w:rPr>
          <w:rFonts w:ascii="Times New Roman" w:hAnsi="Times New Roman" w:cs="Times New Roman"/>
          <w:sz w:val="24"/>
          <w:szCs w:val="24"/>
        </w:rPr>
        <w:t>разраб</w:t>
      </w:r>
      <w:r w:rsidR="00AE1DCD">
        <w:rPr>
          <w:rFonts w:ascii="Times New Roman" w:hAnsi="Times New Roman" w:cs="Times New Roman"/>
          <w:sz w:val="24"/>
          <w:szCs w:val="24"/>
        </w:rPr>
        <w:t>отк</w:t>
      </w:r>
      <w:r w:rsidR="008D2AAE">
        <w:rPr>
          <w:rFonts w:ascii="Times New Roman" w:hAnsi="Times New Roman" w:cs="Times New Roman"/>
          <w:sz w:val="24"/>
          <w:szCs w:val="24"/>
        </w:rPr>
        <w:t>а</w:t>
      </w:r>
      <w:r w:rsidR="00D21B15" w:rsidRPr="005F7E13">
        <w:rPr>
          <w:rFonts w:ascii="Times New Roman" w:hAnsi="Times New Roman" w:cs="Times New Roman"/>
          <w:sz w:val="24"/>
          <w:szCs w:val="24"/>
        </w:rPr>
        <w:t xml:space="preserve"> </w:t>
      </w:r>
      <w:r w:rsidR="00416E17" w:rsidRPr="005F7E13">
        <w:rPr>
          <w:rFonts w:ascii="Times New Roman" w:hAnsi="Times New Roman" w:cs="Times New Roman"/>
          <w:sz w:val="24"/>
          <w:szCs w:val="24"/>
        </w:rPr>
        <w:t>н</w:t>
      </w:r>
      <w:r w:rsidR="00101913" w:rsidRPr="005F7E13">
        <w:rPr>
          <w:rFonts w:ascii="Times New Roman" w:hAnsi="Times New Roman" w:cs="Times New Roman"/>
          <w:bCs/>
          <w:sz w:val="24"/>
          <w:szCs w:val="24"/>
        </w:rPr>
        <w:t>ормативн</w:t>
      </w:r>
      <w:r w:rsidR="00AE1DCD">
        <w:rPr>
          <w:rFonts w:ascii="Times New Roman" w:hAnsi="Times New Roman" w:cs="Times New Roman"/>
          <w:bCs/>
          <w:sz w:val="24"/>
          <w:szCs w:val="24"/>
        </w:rPr>
        <w:t>ого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913" w:rsidRPr="005F7E13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AE1DCD">
        <w:rPr>
          <w:rFonts w:ascii="Times New Roman" w:hAnsi="Times New Roman" w:cs="Times New Roman"/>
          <w:bCs/>
          <w:sz w:val="24"/>
          <w:szCs w:val="24"/>
        </w:rPr>
        <w:t>а</w:t>
      </w:r>
      <w:r w:rsidR="00101913" w:rsidRPr="005F7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CEE" w:rsidRPr="005F7E13">
        <w:rPr>
          <w:rFonts w:ascii="Times New Roman" w:hAnsi="Times New Roman" w:cs="Times New Roman"/>
          <w:bCs/>
          <w:sz w:val="24"/>
          <w:szCs w:val="24"/>
        </w:rPr>
        <w:t>«Обеспечение безопасности объектов электроэнергетики при землетрясениях и связанных с землетрясениями ассоциаций процессов, явлений и факторов природного и техногенного происхождения»</w:t>
      </w:r>
      <w:r w:rsidR="0072556F" w:rsidRPr="00725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56F" w:rsidRPr="005F7E13">
        <w:rPr>
          <w:rFonts w:ascii="Times New Roman" w:hAnsi="Times New Roman" w:cs="Times New Roman"/>
          <w:bCs/>
          <w:sz w:val="24"/>
          <w:szCs w:val="24"/>
        </w:rPr>
        <w:t>в статусе требований безопасности в электроэнергетике</w:t>
      </w:r>
      <w:r w:rsidR="0072556F">
        <w:rPr>
          <w:rFonts w:ascii="Times New Roman" w:hAnsi="Times New Roman" w:cs="Times New Roman"/>
          <w:bCs/>
          <w:sz w:val="24"/>
          <w:szCs w:val="24"/>
        </w:rPr>
        <w:t xml:space="preserve"> как документа федерального уровня</w:t>
      </w:r>
      <w:r w:rsidR="00580251">
        <w:rPr>
          <w:rFonts w:ascii="Times New Roman" w:hAnsi="Times New Roman" w:cs="Times New Roman"/>
          <w:bCs/>
          <w:sz w:val="24"/>
          <w:szCs w:val="24"/>
        </w:rPr>
        <w:t xml:space="preserve"> из средств федеральной целевой программы </w:t>
      </w:r>
      <w:r w:rsidR="008D2AAE" w:rsidRPr="00905779">
        <w:rPr>
          <w:rFonts w:ascii="Times New Roman" w:hAnsi="Times New Roman" w:cs="Times New Roman"/>
          <w:bCs/>
          <w:sz w:val="24"/>
          <w:szCs w:val="24"/>
        </w:rPr>
        <w:t>«Снижение рисков и смягчение последствий чрезвычайных ситуаций природного и техногенного характера в Российской</w:t>
      </w:r>
      <w:proofErr w:type="gramEnd"/>
      <w:r w:rsidR="008D2AAE" w:rsidRPr="00905779">
        <w:rPr>
          <w:rFonts w:ascii="Times New Roman" w:hAnsi="Times New Roman" w:cs="Times New Roman"/>
          <w:bCs/>
          <w:sz w:val="24"/>
          <w:szCs w:val="24"/>
        </w:rPr>
        <w:t xml:space="preserve"> Федерации до 2015 года</w:t>
      </w:r>
      <w:r w:rsidR="008D2AAE">
        <w:rPr>
          <w:rFonts w:ascii="Times New Roman" w:hAnsi="Times New Roman" w:cs="Times New Roman"/>
          <w:bCs/>
          <w:sz w:val="24"/>
          <w:szCs w:val="24"/>
        </w:rPr>
        <w:t xml:space="preserve">, руководство которой осуществляло </w:t>
      </w:r>
      <w:r w:rsidR="008D2AAE" w:rsidRPr="00905779">
        <w:rPr>
          <w:rFonts w:ascii="Times New Roman" w:hAnsi="Times New Roman" w:cs="Times New Roman"/>
          <w:bCs/>
          <w:sz w:val="24"/>
          <w:szCs w:val="24"/>
        </w:rPr>
        <w:t>МЧС России.</w:t>
      </w:r>
    </w:p>
    <w:p w:rsidR="00146081" w:rsidRDefault="0072556F" w:rsidP="00AE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Проект этого нормативного документа</w:t>
      </w:r>
      <w:r w:rsidR="00E81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CEE" w:rsidRPr="005F7E13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416E17" w:rsidRPr="005F7E13">
        <w:rPr>
          <w:rFonts w:ascii="Times New Roman" w:hAnsi="Times New Roman" w:cs="Times New Roman"/>
          <w:sz w:val="24"/>
          <w:szCs w:val="24"/>
        </w:rPr>
        <w:t xml:space="preserve">минимальные </w:t>
      </w:r>
      <w:r w:rsidR="00A05991" w:rsidRPr="005F7E13">
        <w:rPr>
          <w:rFonts w:ascii="Times New Roman" w:hAnsi="Times New Roman" w:cs="Times New Roman"/>
          <w:sz w:val="24"/>
          <w:szCs w:val="24"/>
        </w:rPr>
        <w:t>требования к обеспечению безопасности</w:t>
      </w:r>
      <w:r w:rsidR="00A05991" w:rsidRPr="00A05991">
        <w:rPr>
          <w:rFonts w:ascii="Times New Roman" w:hAnsi="Times New Roman" w:cs="Times New Roman"/>
          <w:sz w:val="24"/>
          <w:szCs w:val="24"/>
        </w:rPr>
        <w:t xml:space="preserve"> объектов электроэнергетики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A05991" w:rsidRPr="00A05991">
        <w:rPr>
          <w:rFonts w:ascii="Times New Roman" w:hAnsi="Times New Roman" w:cs="Times New Roman"/>
          <w:sz w:val="24"/>
          <w:szCs w:val="24"/>
        </w:rPr>
        <w:t>всех типов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A05991" w:rsidRPr="00A05991">
        <w:rPr>
          <w:rFonts w:ascii="Times New Roman" w:hAnsi="Times New Roman" w:cs="Times New Roman"/>
          <w:sz w:val="24"/>
          <w:szCs w:val="24"/>
        </w:rPr>
        <w:t>(кроме атомных станций) при сейсмических воздействиях и связанных с землетрясениями ассоциаци</w:t>
      </w:r>
      <w:r w:rsidR="005C5990">
        <w:rPr>
          <w:rFonts w:ascii="Times New Roman" w:hAnsi="Times New Roman" w:cs="Times New Roman"/>
          <w:sz w:val="24"/>
          <w:szCs w:val="24"/>
        </w:rPr>
        <w:t>ями</w:t>
      </w:r>
      <w:r w:rsidR="00A05991" w:rsidRPr="00A05991">
        <w:rPr>
          <w:rFonts w:ascii="Times New Roman" w:hAnsi="Times New Roman" w:cs="Times New Roman"/>
          <w:sz w:val="24"/>
          <w:szCs w:val="24"/>
        </w:rPr>
        <w:t xml:space="preserve"> процессов, явлений и факторов природного и техногенного происхождения,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A05991" w:rsidRPr="00A05991">
        <w:rPr>
          <w:rFonts w:ascii="Times New Roman" w:hAnsi="Times New Roman" w:cs="Times New Roman"/>
          <w:sz w:val="24"/>
          <w:szCs w:val="24"/>
        </w:rPr>
        <w:t>к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A05991" w:rsidRPr="00A05991">
        <w:rPr>
          <w:rFonts w:ascii="Times New Roman" w:hAnsi="Times New Roman" w:cs="Times New Roman"/>
          <w:sz w:val="24"/>
          <w:szCs w:val="24"/>
        </w:rPr>
        <w:t>определению категорий сейсмостойкости систем и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A05991" w:rsidRPr="00A05991">
        <w:rPr>
          <w:rFonts w:ascii="Times New Roman" w:hAnsi="Times New Roman" w:cs="Times New Roman"/>
          <w:sz w:val="24"/>
          <w:szCs w:val="24"/>
        </w:rPr>
        <w:t>элементов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A05991" w:rsidRPr="00A05991">
        <w:rPr>
          <w:rFonts w:ascii="Times New Roman" w:hAnsi="Times New Roman" w:cs="Times New Roman"/>
          <w:sz w:val="24"/>
          <w:szCs w:val="24"/>
        </w:rPr>
        <w:t>объектов энергетики; назначению параметров сейсмических воздействий; обеспечению сейсмостойкости систем и элементов (строительных конструкций,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A05991" w:rsidRPr="00A05991">
        <w:rPr>
          <w:rFonts w:ascii="Times New Roman" w:hAnsi="Times New Roman" w:cs="Times New Roman"/>
          <w:sz w:val="24"/>
          <w:szCs w:val="24"/>
        </w:rPr>
        <w:t xml:space="preserve">оснований, сооружений, технологического, электротехнического оборудования, средств автоматизации и связи объектов электроэнергетики). </w:t>
      </w:r>
      <w:r w:rsidR="002C7504">
        <w:rPr>
          <w:rFonts w:ascii="Times New Roman" w:hAnsi="Times New Roman" w:cs="Times New Roman"/>
          <w:sz w:val="24"/>
          <w:szCs w:val="24"/>
        </w:rPr>
        <w:t xml:space="preserve">В настоящее время этот нормативный </w:t>
      </w:r>
      <w:r w:rsidR="00D91279">
        <w:rPr>
          <w:rFonts w:ascii="Times New Roman" w:hAnsi="Times New Roman" w:cs="Times New Roman"/>
          <w:sz w:val="24"/>
          <w:szCs w:val="24"/>
        </w:rPr>
        <w:t>документ</w:t>
      </w:r>
      <w:r w:rsidR="002C7504">
        <w:rPr>
          <w:rFonts w:ascii="Times New Roman" w:hAnsi="Times New Roman" w:cs="Times New Roman"/>
          <w:sz w:val="24"/>
          <w:szCs w:val="24"/>
        </w:rPr>
        <w:t xml:space="preserve"> разработан в окончательной редакции, прошёл обсуждение в </w:t>
      </w:r>
      <w:r w:rsidR="006E6F1C" w:rsidRPr="008D416B">
        <w:rPr>
          <w:rFonts w:ascii="Times New Roman" w:hAnsi="Times New Roman" w:cs="Times New Roman"/>
          <w:sz w:val="24"/>
          <w:szCs w:val="24"/>
        </w:rPr>
        <w:t>ведущи</w:t>
      </w:r>
      <w:r w:rsidR="00995A68">
        <w:rPr>
          <w:rFonts w:ascii="Times New Roman" w:hAnsi="Times New Roman" w:cs="Times New Roman"/>
          <w:sz w:val="24"/>
          <w:szCs w:val="24"/>
        </w:rPr>
        <w:t>х</w:t>
      </w:r>
      <w:r w:rsidR="006E6F1C" w:rsidRPr="008D416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95A68">
        <w:rPr>
          <w:rFonts w:ascii="Times New Roman" w:hAnsi="Times New Roman" w:cs="Times New Roman"/>
          <w:sz w:val="24"/>
          <w:szCs w:val="24"/>
        </w:rPr>
        <w:t>ях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6E6F1C" w:rsidRPr="008D416B">
        <w:rPr>
          <w:rFonts w:ascii="Times New Roman" w:hAnsi="Times New Roman" w:cs="Times New Roman"/>
          <w:sz w:val="24"/>
          <w:szCs w:val="24"/>
        </w:rPr>
        <w:t>Минэнерго России, МЧС России,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6E6F1C" w:rsidRPr="008D416B">
        <w:rPr>
          <w:rFonts w:ascii="Times New Roman" w:hAnsi="Times New Roman" w:cs="Times New Roman"/>
          <w:sz w:val="24"/>
          <w:szCs w:val="24"/>
        </w:rPr>
        <w:t>РАН, в други</w:t>
      </w:r>
      <w:r w:rsidR="00D91279">
        <w:rPr>
          <w:rFonts w:ascii="Times New Roman" w:hAnsi="Times New Roman" w:cs="Times New Roman"/>
          <w:sz w:val="24"/>
          <w:szCs w:val="24"/>
        </w:rPr>
        <w:t>х компетентных о</w:t>
      </w:r>
      <w:r w:rsidR="006E6F1C" w:rsidRPr="008D416B">
        <w:rPr>
          <w:rFonts w:ascii="Times New Roman" w:hAnsi="Times New Roman" w:cs="Times New Roman"/>
          <w:sz w:val="24"/>
          <w:szCs w:val="24"/>
        </w:rPr>
        <w:t>рганизаци</w:t>
      </w:r>
      <w:r w:rsidR="005F7E13">
        <w:rPr>
          <w:rFonts w:ascii="Times New Roman" w:hAnsi="Times New Roman" w:cs="Times New Roman"/>
          <w:sz w:val="24"/>
          <w:szCs w:val="24"/>
        </w:rPr>
        <w:t>ях</w:t>
      </w:r>
      <w:r w:rsidR="006E6F1C" w:rsidRPr="008D416B">
        <w:rPr>
          <w:rFonts w:ascii="Times New Roman" w:hAnsi="Times New Roman" w:cs="Times New Roman"/>
          <w:sz w:val="24"/>
          <w:szCs w:val="24"/>
        </w:rPr>
        <w:t>.</w:t>
      </w:r>
      <w:r w:rsidR="00C16100">
        <w:rPr>
          <w:rFonts w:ascii="Times New Roman" w:hAnsi="Times New Roman" w:cs="Times New Roman"/>
          <w:sz w:val="24"/>
          <w:szCs w:val="24"/>
        </w:rPr>
        <w:t xml:space="preserve"> Уведомление о разработке, п</w:t>
      </w:r>
      <w:r w:rsidR="006E6F1C" w:rsidRPr="008D416B">
        <w:rPr>
          <w:rFonts w:ascii="Times New Roman" w:hAnsi="Times New Roman" w:cs="Times New Roman"/>
          <w:sz w:val="24"/>
          <w:szCs w:val="24"/>
        </w:rPr>
        <w:t>роект окончательной редакции</w:t>
      </w:r>
      <w:r w:rsidR="00C16100">
        <w:rPr>
          <w:rFonts w:ascii="Times New Roman" w:hAnsi="Times New Roman" w:cs="Times New Roman"/>
          <w:sz w:val="24"/>
          <w:szCs w:val="24"/>
        </w:rPr>
        <w:t xml:space="preserve">, </w:t>
      </w:r>
      <w:r w:rsidR="006E6F1C" w:rsidRPr="008D416B">
        <w:rPr>
          <w:rFonts w:ascii="Times New Roman" w:hAnsi="Times New Roman" w:cs="Times New Roman"/>
          <w:sz w:val="24"/>
          <w:szCs w:val="24"/>
        </w:rPr>
        <w:t>Сводн</w:t>
      </w:r>
      <w:r w:rsidR="00C16100">
        <w:rPr>
          <w:rFonts w:ascii="Times New Roman" w:hAnsi="Times New Roman" w:cs="Times New Roman"/>
          <w:sz w:val="24"/>
          <w:szCs w:val="24"/>
        </w:rPr>
        <w:t>ый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6E6F1C" w:rsidRPr="008D416B">
        <w:rPr>
          <w:rFonts w:ascii="Times New Roman" w:hAnsi="Times New Roman" w:cs="Times New Roman"/>
          <w:sz w:val="24"/>
          <w:szCs w:val="24"/>
        </w:rPr>
        <w:t>отчета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6E6F1C" w:rsidRPr="008D416B">
        <w:rPr>
          <w:rFonts w:ascii="Times New Roman" w:hAnsi="Times New Roman" w:cs="Times New Roman"/>
          <w:sz w:val="24"/>
          <w:szCs w:val="24"/>
        </w:rPr>
        <w:t>с оценкой регулирующего воздействия</w:t>
      </w:r>
      <w:r w:rsidR="00C16100">
        <w:rPr>
          <w:rFonts w:ascii="Times New Roman" w:hAnsi="Times New Roman" w:cs="Times New Roman"/>
          <w:sz w:val="24"/>
          <w:szCs w:val="24"/>
        </w:rPr>
        <w:t xml:space="preserve"> были о</w:t>
      </w:r>
      <w:r w:rsidR="00C16100" w:rsidRPr="008D416B">
        <w:rPr>
          <w:rFonts w:ascii="Times New Roman" w:hAnsi="Times New Roman" w:cs="Times New Roman"/>
          <w:sz w:val="24"/>
          <w:szCs w:val="24"/>
        </w:rPr>
        <w:t>публикован</w:t>
      </w:r>
      <w:r w:rsidR="00C16100">
        <w:rPr>
          <w:rFonts w:ascii="Times New Roman" w:hAnsi="Times New Roman" w:cs="Times New Roman"/>
          <w:sz w:val="24"/>
          <w:szCs w:val="24"/>
        </w:rPr>
        <w:t>ы</w:t>
      </w:r>
      <w:r w:rsidR="00C16100" w:rsidRPr="008D416B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C16100" w:rsidRPr="008D41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16100" w:rsidRPr="008D416B">
        <w:rPr>
          <w:rFonts w:ascii="Times New Roman" w:hAnsi="Times New Roman" w:cs="Times New Roman"/>
          <w:sz w:val="24"/>
          <w:szCs w:val="24"/>
        </w:rPr>
        <w:t xml:space="preserve"> //</w:t>
      </w:r>
      <w:r w:rsidR="00C16100" w:rsidRPr="008D416B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C16100" w:rsidRPr="008D41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6100" w:rsidRPr="008D416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C16100" w:rsidRPr="008D41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6100" w:rsidRPr="008D41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C5990">
        <w:rPr>
          <w:rFonts w:ascii="Times New Roman" w:hAnsi="Times New Roman" w:cs="Times New Roman"/>
          <w:sz w:val="24"/>
          <w:szCs w:val="24"/>
        </w:rPr>
        <w:t>.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66726A">
        <w:rPr>
          <w:rFonts w:ascii="Times New Roman" w:hAnsi="Times New Roman" w:cs="Times New Roman"/>
          <w:sz w:val="24"/>
          <w:szCs w:val="24"/>
        </w:rPr>
        <w:t xml:space="preserve">Основные положения предлагаемого документа апробированы опытом применения федеральных норм и правил в области использования атомной энергии в части учета землетрясений и иных </w:t>
      </w:r>
      <w:r w:rsidR="00022ECB">
        <w:rPr>
          <w:rFonts w:ascii="Times New Roman" w:hAnsi="Times New Roman" w:cs="Times New Roman"/>
          <w:sz w:val="24"/>
          <w:szCs w:val="24"/>
        </w:rPr>
        <w:t>внешних воздействий природного и техногенного происхождения</w:t>
      </w:r>
      <w:r w:rsidR="00D91D30">
        <w:rPr>
          <w:rFonts w:ascii="Times New Roman" w:hAnsi="Times New Roman" w:cs="Times New Roman"/>
          <w:sz w:val="24"/>
          <w:szCs w:val="24"/>
        </w:rPr>
        <w:t>.</w:t>
      </w:r>
      <w:r w:rsidR="00E81348">
        <w:t xml:space="preserve"> </w:t>
      </w:r>
      <w:r w:rsidR="00DA0D17">
        <w:rPr>
          <w:rFonts w:ascii="Times New Roman" w:hAnsi="Times New Roman" w:cs="Times New Roman"/>
          <w:sz w:val="24"/>
          <w:szCs w:val="24"/>
        </w:rPr>
        <w:t xml:space="preserve">В настоящее время проводится </w:t>
      </w:r>
      <w:r w:rsidR="00DD7EEA">
        <w:rPr>
          <w:rFonts w:ascii="Times New Roman" w:hAnsi="Times New Roman" w:cs="Times New Roman"/>
          <w:sz w:val="24"/>
          <w:szCs w:val="24"/>
        </w:rPr>
        <w:t>подготовка этого нормативного документа к утверждению.</w:t>
      </w:r>
      <w:r w:rsidR="00E813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6081" w:rsidRPr="008E70DC">
        <w:rPr>
          <w:rFonts w:ascii="Times New Roman" w:hAnsi="Times New Roman" w:cs="Times New Roman"/>
          <w:sz w:val="24"/>
          <w:szCs w:val="24"/>
        </w:rPr>
        <w:t xml:space="preserve">В </w:t>
      </w:r>
      <w:r w:rsidR="002B15BB" w:rsidRPr="008E70DC">
        <w:rPr>
          <w:rFonts w:ascii="Times New Roman" w:hAnsi="Times New Roman" w:cs="Times New Roman"/>
          <w:sz w:val="24"/>
          <w:szCs w:val="24"/>
        </w:rPr>
        <w:t>презентации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146081" w:rsidRPr="008E70DC">
        <w:rPr>
          <w:rFonts w:ascii="Times New Roman" w:hAnsi="Times New Roman" w:cs="Times New Roman"/>
          <w:sz w:val="24"/>
          <w:szCs w:val="24"/>
        </w:rPr>
        <w:t>будут сделаны акценты на основные требования безопасности, включенные в проект нормативного документа.</w:t>
      </w:r>
    </w:p>
    <w:p w:rsidR="00D91D30" w:rsidRPr="008E70DC" w:rsidRDefault="00D91D30" w:rsidP="00AE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Изложенные доказательства </w:t>
      </w:r>
      <w:r w:rsidR="00F61D6A">
        <w:rPr>
          <w:rFonts w:ascii="Times New Roman" w:hAnsi="Times New Roman" w:cs="Times New Roman"/>
          <w:sz w:val="24"/>
          <w:szCs w:val="24"/>
        </w:rPr>
        <w:t xml:space="preserve">возможной уязвимости объектов электроэнергетики </w:t>
      </w:r>
      <w:r w:rsidR="00473976">
        <w:rPr>
          <w:rFonts w:ascii="Times New Roman" w:hAnsi="Times New Roman" w:cs="Times New Roman"/>
          <w:sz w:val="24"/>
          <w:szCs w:val="24"/>
        </w:rPr>
        <w:t>позволяют рассчитывать на то, что юридические лица (владельцы и эксплуатирующие организации</w:t>
      </w:r>
      <w:r w:rsidR="00F61D6A">
        <w:rPr>
          <w:rFonts w:ascii="Times New Roman" w:hAnsi="Times New Roman" w:cs="Times New Roman"/>
          <w:sz w:val="24"/>
          <w:szCs w:val="24"/>
        </w:rPr>
        <w:t xml:space="preserve">), руководители ведомств оценят важность </w:t>
      </w:r>
      <w:r w:rsidR="00B302FB">
        <w:rPr>
          <w:rFonts w:ascii="Times New Roman" w:hAnsi="Times New Roman" w:cs="Times New Roman"/>
          <w:sz w:val="24"/>
          <w:szCs w:val="24"/>
        </w:rPr>
        <w:t xml:space="preserve">и </w:t>
      </w:r>
      <w:r w:rsidR="00F61D6A">
        <w:rPr>
          <w:rFonts w:ascii="Times New Roman" w:hAnsi="Times New Roman" w:cs="Times New Roman"/>
          <w:sz w:val="24"/>
          <w:szCs w:val="24"/>
        </w:rPr>
        <w:t>необходимост</w:t>
      </w:r>
      <w:r w:rsidR="00B302FB">
        <w:rPr>
          <w:rFonts w:ascii="Times New Roman" w:hAnsi="Times New Roman" w:cs="Times New Roman"/>
          <w:sz w:val="24"/>
          <w:szCs w:val="24"/>
        </w:rPr>
        <w:t>ь</w:t>
      </w:r>
      <w:r w:rsidR="00F61D6A">
        <w:rPr>
          <w:rFonts w:ascii="Times New Roman" w:hAnsi="Times New Roman" w:cs="Times New Roman"/>
          <w:sz w:val="24"/>
          <w:szCs w:val="24"/>
        </w:rPr>
        <w:t xml:space="preserve"> совершенствования нормативного регулирования</w:t>
      </w:r>
      <w:r w:rsidR="006D6DA4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F61D6A">
        <w:rPr>
          <w:rFonts w:ascii="Times New Roman" w:hAnsi="Times New Roman" w:cs="Times New Roman"/>
          <w:sz w:val="24"/>
          <w:szCs w:val="24"/>
        </w:rPr>
        <w:t>сейсмостойкости объектов электроэнергетики и гидротехнических сооружений. При этом</w:t>
      </w:r>
      <w:r w:rsidR="00B302FB">
        <w:rPr>
          <w:rFonts w:ascii="Times New Roman" w:hAnsi="Times New Roman" w:cs="Times New Roman"/>
          <w:sz w:val="24"/>
          <w:szCs w:val="24"/>
        </w:rPr>
        <w:t xml:space="preserve"> они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F61D6A">
        <w:rPr>
          <w:rFonts w:ascii="Times New Roman" w:hAnsi="Times New Roman" w:cs="Times New Roman"/>
          <w:sz w:val="24"/>
          <w:szCs w:val="24"/>
        </w:rPr>
        <w:t xml:space="preserve">не станут </w:t>
      </w:r>
      <w:r w:rsidR="006D6DA4">
        <w:rPr>
          <w:rFonts w:ascii="Times New Roman" w:hAnsi="Times New Roman" w:cs="Times New Roman"/>
          <w:sz w:val="24"/>
          <w:szCs w:val="24"/>
        </w:rPr>
        <w:lastRenderedPageBreak/>
        <w:t>утверждать о дополнительной нагрузке на бизнес</w:t>
      </w:r>
      <w:r w:rsidR="00B302FB">
        <w:rPr>
          <w:rFonts w:ascii="Times New Roman" w:hAnsi="Times New Roman" w:cs="Times New Roman"/>
          <w:sz w:val="24"/>
          <w:szCs w:val="24"/>
        </w:rPr>
        <w:t>, как неоправданной и избыточной</w:t>
      </w:r>
      <w:r w:rsidR="006D6DA4">
        <w:rPr>
          <w:rFonts w:ascii="Times New Roman" w:hAnsi="Times New Roman" w:cs="Times New Roman"/>
          <w:sz w:val="24"/>
          <w:szCs w:val="24"/>
        </w:rPr>
        <w:t xml:space="preserve">. Потери и возможные ущербы при возможных </w:t>
      </w:r>
      <w:r w:rsidR="00045AAD">
        <w:rPr>
          <w:rFonts w:ascii="Times New Roman" w:hAnsi="Times New Roman" w:cs="Times New Roman"/>
          <w:sz w:val="24"/>
          <w:szCs w:val="24"/>
        </w:rPr>
        <w:t>авариях при землетрясениях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  <w:r w:rsidR="006D6DA4">
        <w:rPr>
          <w:rFonts w:ascii="Times New Roman" w:hAnsi="Times New Roman" w:cs="Times New Roman"/>
          <w:sz w:val="24"/>
          <w:szCs w:val="24"/>
        </w:rPr>
        <w:t>и их последствиях значительно превысят затраты на обеспечение сейсмостойкости</w:t>
      </w:r>
      <w:r w:rsidR="00045AAD">
        <w:rPr>
          <w:rFonts w:ascii="Times New Roman" w:hAnsi="Times New Roman" w:cs="Times New Roman"/>
          <w:sz w:val="24"/>
          <w:szCs w:val="24"/>
        </w:rPr>
        <w:t xml:space="preserve"> этих объектов.</w:t>
      </w:r>
      <w:r w:rsidR="00E813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1D30" w:rsidRPr="008E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907"/>
    <w:multiLevelType w:val="hybridMultilevel"/>
    <w:tmpl w:val="17206EAC"/>
    <w:lvl w:ilvl="0" w:tplc="B9CAF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F4BE4"/>
    <w:multiLevelType w:val="hybridMultilevel"/>
    <w:tmpl w:val="3C60B5DC"/>
    <w:lvl w:ilvl="0" w:tplc="377E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C0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4E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2E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CD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E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22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C0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01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A0A5A"/>
    <w:multiLevelType w:val="hybridMultilevel"/>
    <w:tmpl w:val="17206EAC"/>
    <w:lvl w:ilvl="0" w:tplc="B9CAF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2309B2"/>
    <w:multiLevelType w:val="hybridMultilevel"/>
    <w:tmpl w:val="6400D880"/>
    <w:lvl w:ilvl="0" w:tplc="1DBA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E9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AA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8F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8C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63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42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3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D2"/>
    <w:rsid w:val="0000385F"/>
    <w:rsid w:val="00013990"/>
    <w:rsid w:val="00014D46"/>
    <w:rsid w:val="00020B13"/>
    <w:rsid w:val="00022A58"/>
    <w:rsid w:val="00022ECB"/>
    <w:rsid w:val="00044671"/>
    <w:rsid w:val="00045AAD"/>
    <w:rsid w:val="0006313E"/>
    <w:rsid w:val="0006597D"/>
    <w:rsid w:val="00066716"/>
    <w:rsid w:val="000752D2"/>
    <w:rsid w:val="000776EA"/>
    <w:rsid w:val="000913A0"/>
    <w:rsid w:val="000B0C48"/>
    <w:rsid w:val="000B27C4"/>
    <w:rsid w:val="000C1278"/>
    <w:rsid w:val="00101913"/>
    <w:rsid w:val="00117EC2"/>
    <w:rsid w:val="00122BF2"/>
    <w:rsid w:val="0013376A"/>
    <w:rsid w:val="00146081"/>
    <w:rsid w:val="001F6DF7"/>
    <w:rsid w:val="00213DBF"/>
    <w:rsid w:val="00233DE3"/>
    <w:rsid w:val="002352C0"/>
    <w:rsid w:val="00253316"/>
    <w:rsid w:val="00261A7C"/>
    <w:rsid w:val="002661EE"/>
    <w:rsid w:val="0028158E"/>
    <w:rsid w:val="0028371D"/>
    <w:rsid w:val="00290707"/>
    <w:rsid w:val="00293664"/>
    <w:rsid w:val="002B15BB"/>
    <w:rsid w:val="002B731A"/>
    <w:rsid w:val="002C7504"/>
    <w:rsid w:val="002D5325"/>
    <w:rsid w:val="002E3C74"/>
    <w:rsid w:val="002F4126"/>
    <w:rsid w:val="003111F0"/>
    <w:rsid w:val="00322D52"/>
    <w:rsid w:val="00344A52"/>
    <w:rsid w:val="00347EDC"/>
    <w:rsid w:val="00370880"/>
    <w:rsid w:val="003A1CB6"/>
    <w:rsid w:val="003A34BA"/>
    <w:rsid w:val="003C4D0B"/>
    <w:rsid w:val="003C70D1"/>
    <w:rsid w:val="003D39D6"/>
    <w:rsid w:val="003F69E5"/>
    <w:rsid w:val="00402B42"/>
    <w:rsid w:val="004157FE"/>
    <w:rsid w:val="00416E17"/>
    <w:rsid w:val="00417953"/>
    <w:rsid w:val="00424FB8"/>
    <w:rsid w:val="0042734D"/>
    <w:rsid w:val="00456CE5"/>
    <w:rsid w:val="00470726"/>
    <w:rsid w:val="00473787"/>
    <w:rsid w:val="00473976"/>
    <w:rsid w:val="004F3705"/>
    <w:rsid w:val="0050712D"/>
    <w:rsid w:val="005117C0"/>
    <w:rsid w:val="0052042B"/>
    <w:rsid w:val="00561B5D"/>
    <w:rsid w:val="0056334F"/>
    <w:rsid w:val="0058016C"/>
    <w:rsid w:val="00580251"/>
    <w:rsid w:val="00592F67"/>
    <w:rsid w:val="00594E5F"/>
    <w:rsid w:val="005C3B10"/>
    <w:rsid w:val="005C48B4"/>
    <w:rsid w:val="005C5990"/>
    <w:rsid w:val="005E0FE7"/>
    <w:rsid w:val="005F7E13"/>
    <w:rsid w:val="00604934"/>
    <w:rsid w:val="006255C4"/>
    <w:rsid w:val="00630CB1"/>
    <w:rsid w:val="006337C8"/>
    <w:rsid w:val="00642424"/>
    <w:rsid w:val="006577B7"/>
    <w:rsid w:val="0066726A"/>
    <w:rsid w:val="00696DC4"/>
    <w:rsid w:val="00697566"/>
    <w:rsid w:val="00697A8A"/>
    <w:rsid w:val="006A43DC"/>
    <w:rsid w:val="006B0FAA"/>
    <w:rsid w:val="006C029A"/>
    <w:rsid w:val="006D3443"/>
    <w:rsid w:val="006D6DA4"/>
    <w:rsid w:val="006E0DD0"/>
    <w:rsid w:val="006E2453"/>
    <w:rsid w:val="006E6F1C"/>
    <w:rsid w:val="0072556F"/>
    <w:rsid w:val="007366C1"/>
    <w:rsid w:val="007421B7"/>
    <w:rsid w:val="007529B1"/>
    <w:rsid w:val="00757F2A"/>
    <w:rsid w:val="00766C7F"/>
    <w:rsid w:val="007747AE"/>
    <w:rsid w:val="00787D40"/>
    <w:rsid w:val="00792068"/>
    <w:rsid w:val="00823A35"/>
    <w:rsid w:val="00826143"/>
    <w:rsid w:val="00845528"/>
    <w:rsid w:val="00850A72"/>
    <w:rsid w:val="008656B3"/>
    <w:rsid w:val="00884AAD"/>
    <w:rsid w:val="00885F50"/>
    <w:rsid w:val="00886AF5"/>
    <w:rsid w:val="008922D5"/>
    <w:rsid w:val="008C1E3A"/>
    <w:rsid w:val="008D2AAE"/>
    <w:rsid w:val="008D416B"/>
    <w:rsid w:val="008D46CA"/>
    <w:rsid w:val="008E1DE6"/>
    <w:rsid w:val="008E6CBE"/>
    <w:rsid w:val="008E70DC"/>
    <w:rsid w:val="00905779"/>
    <w:rsid w:val="00910DBE"/>
    <w:rsid w:val="00922029"/>
    <w:rsid w:val="00935667"/>
    <w:rsid w:val="00941859"/>
    <w:rsid w:val="00941C7A"/>
    <w:rsid w:val="0094252B"/>
    <w:rsid w:val="00973D39"/>
    <w:rsid w:val="00992A98"/>
    <w:rsid w:val="00995A68"/>
    <w:rsid w:val="009C19CE"/>
    <w:rsid w:val="009C20BC"/>
    <w:rsid w:val="009F5F42"/>
    <w:rsid w:val="00A05991"/>
    <w:rsid w:val="00A15BF6"/>
    <w:rsid w:val="00A25E2C"/>
    <w:rsid w:val="00A92829"/>
    <w:rsid w:val="00AB0873"/>
    <w:rsid w:val="00AB088B"/>
    <w:rsid w:val="00AD1047"/>
    <w:rsid w:val="00AD1749"/>
    <w:rsid w:val="00AE1DCD"/>
    <w:rsid w:val="00AF43FD"/>
    <w:rsid w:val="00B12BE2"/>
    <w:rsid w:val="00B25030"/>
    <w:rsid w:val="00B267D4"/>
    <w:rsid w:val="00B302FB"/>
    <w:rsid w:val="00B36157"/>
    <w:rsid w:val="00B40B21"/>
    <w:rsid w:val="00B46445"/>
    <w:rsid w:val="00B614BE"/>
    <w:rsid w:val="00B75839"/>
    <w:rsid w:val="00B8388C"/>
    <w:rsid w:val="00BC0F85"/>
    <w:rsid w:val="00BD21D1"/>
    <w:rsid w:val="00BD7AFD"/>
    <w:rsid w:val="00BE2B60"/>
    <w:rsid w:val="00BE47D2"/>
    <w:rsid w:val="00BE7BE7"/>
    <w:rsid w:val="00C12CF4"/>
    <w:rsid w:val="00C16100"/>
    <w:rsid w:val="00C17764"/>
    <w:rsid w:val="00C25ABC"/>
    <w:rsid w:val="00C5301A"/>
    <w:rsid w:val="00C721F8"/>
    <w:rsid w:val="00C77F71"/>
    <w:rsid w:val="00CF05C5"/>
    <w:rsid w:val="00CF4A88"/>
    <w:rsid w:val="00D025B7"/>
    <w:rsid w:val="00D21B15"/>
    <w:rsid w:val="00D27D85"/>
    <w:rsid w:val="00D52CEE"/>
    <w:rsid w:val="00D64A24"/>
    <w:rsid w:val="00D66513"/>
    <w:rsid w:val="00D91279"/>
    <w:rsid w:val="00D91D30"/>
    <w:rsid w:val="00DA0D17"/>
    <w:rsid w:val="00DA0F63"/>
    <w:rsid w:val="00DD7EEA"/>
    <w:rsid w:val="00DE3F3C"/>
    <w:rsid w:val="00DF30EE"/>
    <w:rsid w:val="00E04F68"/>
    <w:rsid w:val="00E41C8E"/>
    <w:rsid w:val="00E4235D"/>
    <w:rsid w:val="00E52132"/>
    <w:rsid w:val="00E5597D"/>
    <w:rsid w:val="00E63C76"/>
    <w:rsid w:val="00E81348"/>
    <w:rsid w:val="00E86CE7"/>
    <w:rsid w:val="00E87FB8"/>
    <w:rsid w:val="00EA7921"/>
    <w:rsid w:val="00EB136F"/>
    <w:rsid w:val="00EB2D71"/>
    <w:rsid w:val="00EC5B30"/>
    <w:rsid w:val="00ED1207"/>
    <w:rsid w:val="00ED3F5C"/>
    <w:rsid w:val="00ED76CA"/>
    <w:rsid w:val="00EE7F31"/>
    <w:rsid w:val="00F053E0"/>
    <w:rsid w:val="00F07E25"/>
    <w:rsid w:val="00F2088A"/>
    <w:rsid w:val="00F37C7B"/>
    <w:rsid w:val="00F57A30"/>
    <w:rsid w:val="00F61D6A"/>
    <w:rsid w:val="00F7122D"/>
    <w:rsid w:val="00F8626E"/>
    <w:rsid w:val="00FB3007"/>
    <w:rsid w:val="00FB5BC5"/>
    <w:rsid w:val="00FB67A0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43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1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43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5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3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2017-11-09T12:35:00Z</dcterms:created>
  <dcterms:modified xsi:type="dcterms:W3CDTF">2017-11-16T13:14:00Z</dcterms:modified>
</cp:coreProperties>
</file>