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50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BEB">
        <w:rPr>
          <w:rFonts w:ascii="Times New Roman" w:hAnsi="Times New Roman" w:cs="Times New Roman"/>
          <w:b/>
          <w:sz w:val="24"/>
          <w:szCs w:val="24"/>
        </w:rPr>
        <w:t>ПРИМЕНЕНИЕ МЕТОДА СОПРЯЖЕННЫХ ГРАДИЕНТОВ ДЛЯ ОПРЕДЕЛЕНИЯ ЧАСТОТ И ФОРМ СОБСТВЕННЫХ КОЛЕБАНИЙ ПРИ СЕЙСМИЧЕСКОМ АНАЛИЗЕ ЗДАНИЙ И СООРУЖЕ</w:t>
      </w:r>
      <w:r>
        <w:rPr>
          <w:rFonts w:ascii="Times New Roman" w:hAnsi="Times New Roman" w:cs="Times New Roman"/>
          <w:b/>
          <w:sz w:val="24"/>
          <w:szCs w:val="24"/>
        </w:rPr>
        <w:t>НИЙ НА МНОГОЯДЕРНЫХ КОМПЬЮТЕРАХ</w:t>
      </w:r>
    </w:p>
    <w:p w:rsidR="00005598" w:rsidRPr="00B82BEB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A7" w:rsidRPr="00005598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98">
        <w:rPr>
          <w:rFonts w:ascii="Times New Roman" w:hAnsi="Times New Roman" w:cs="Times New Roman"/>
          <w:b/>
          <w:sz w:val="24"/>
          <w:szCs w:val="24"/>
        </w:rPr>
        <w:t xml:space="preserve">С.Ю. </w:t>
      </w:r>
      <w:proofErr w:type="spellStart"/>
      <w:r w:rsidRPr="00005598">
        <w:rPr>
          <w:rFonts w:ascii="Times New Roman" w:hAnsi="Times New Roman" w:cs="Times New Roman"/>
          <w:b/>
          <w:sz w:val="24"/>
          <w:szCs w:val="24"/>
        </w:rPr>
        <w:t>Фиалко</w:t>
      </w:r>
      <w:proofErr w:type="spellEnd"/>
      <w:r w:rsidRPr="00005598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="004E49A7" w:rsidRPr="00005598">
        <w:rPr>
          <w:rFonts w:ascii="Times New Roman" w:hAnsi="Times New Roman" w:cs="Times New Roman"/>
          <w:sz w:val="24"/>
          <w:szCs w:val="24"/>
        </w:rPr>
        <w:t>т</w:t>
      </w:r>
      <w:r w:rsidRPr="00005598">
        <w:rPr>
          <w:rFonts w:ascii="Times New Roman" w:hAnsi="Times New Roman" w:cs="Times New Roman"/>
          <w:sz w:val="24"/>
          <w:szCs w:val="24"/>
        </w:rPr>
        <w:t>ех</w:t>
      </w:r>
      <w:r w:rsidR="004E49A7" w:rsidRPr="000055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E49A7" w:rsidRPr="00005598">
        <w:rPr>
          <w:rFonts w:ascii="Times New Roman" w:hAnsi="Times New Roman" w:cs="Times New Roman"/>
          <w:sz w:val="24"/>
          <w:szCs w:val="24"/>
        </w:rPr>
        <w:t>.</w:t>
      </w:r>
      <w:r w:rsidRPr="00005598">
        <w:rPr>
          <w:rFonts w:ascii="Times New Roman" w:hAnsi="Times New Roman" w:cs="Times New Roman"/>
          <w:sz w:val="24"/>
          <w:szCs w:val="24"/>
        </w:rPr>
        <w:t xml:space="preserve"> наук</w:t>
      </w:r>
      <w:r w:rsidR="004E49A7" w:rsidRPr="00005598">
        <w:rPr>
          <w:rFonts w:ascii="Times New Roman" w:hAnsi="Times New Roman" w:cs="Times New Roman"/>
          <w:sz w:val="24"/>
          <w:szCs w:val="24"/>
        </w:rPr>
        <w:t>, с</w:t>
      </w:r>
      <w:r w:rsidRPr="00005598">
        <w:rPr>
          <w:rFonts w:ascii="Times New Roman" w:hAnsi="Times New Roman" w:cs="Times New Roman"/>
          <w:sz w:val="24"/>
          <w:szCs w:val="24"/>
        </w:rPr>
        <w:t>т</w:t>
      </w:r>
      <w:r w:rsidR="004E49A7" w:rsidRPr="00005598">
        <w:rPr>
          <w:rFonts w:ascii="Times New Roman" w:hAnsi="Times New Roman" w:cs="Times New Roman"/>
          <w:sz w:val="24"/>
          <w:szCs w:val="24"/>
        </w:rPr>
        <w:t>.</w:t>
      </w:r>
      <w:r w:rsidRPr="00005598">
        <w:rPr>
          <w:rFonts w:ascii="Times New Roman" w:hAnsi="Times New Roman" w:cs="Times New Roman"/>
          <w:sz w:val="24"/>
          <w:szCs w:val="24"/>
        </w:rPr>
        <w:t xml:space="preserve"> </w:t>
      </w:r>
      <w:r w:rsidR="004E49A7" w:rsidRPr="00005598">
        <w:rPr>
          <w:rFonts w:ascii="Times New Roman" w:hAnsi="Times New Roman" w:cs="Times New Roman"/>
          <w:sz w:val="24"/>
          <w:szCs w:val="24"/>
        </w:rPr>
        <w:t>н</w:t>
      </w:r>
      <w:r w:rsidRPr="00005598">
        <w:rPr>
          <w:rFonts w:ascii="Times New Roman" w:hAnsi="Times New Roman" w:cs="Times New Roman"/>
          <w:sz w:val="24"/>
          <w:szCs w:val="24"/>
        </w:rPr>
        <w:t>ауч</w:t>
      </w:r>
      <w:r w:rsidR="004E49A7" w:rsidRPr="00005598">
        <w:rPr>
          <w:rFonts w:ascii="Times New Roman" w:hAnsi="Times New Roman" w:cs="Times New Roman"/>
          <w:sz w:val="24"/>
          <w:szCs w:val="24"/>
        </w:rPr>
        <w:t>.</w:t>
      </w:r>
      <w:r w:rsidRPr="0000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A7" w:rsidRPr="00005598">
        <w:rPr>
          <w:rFonts w:ascii="Times New Roman" w:hAnsi="Times New Roman" w:cs="Times New Roman"/>
          <w:sz w:val="24"/>
          <w:szCs w:val="24"/>
        </w:rPr>
        <w:t>с</w:t>
      </w:r>
      <w:r w:rsidRPr="00005598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="004E49A7" w:rsidRPr="00005598">
        <w:rPr>
          <w:rFonts w:ascii="Times New Roman" w:hAnsi="Times New Roman" w:cs="Times New Roman"/>
          <w:sz w:val="24"/>
          <w:szCs w:val="24"/>
        </w:rPr>
        <w:t>.</w:t>
      </w:r>
      <w:r w:rsidR="00D448AA" w:rsidRPr="0000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A7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(Технический университет</w:t>
      </w:r>
      <w:r w:rsidR="005B65A7" w:rsidRPr="00005598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5B65A7" w:rsidRPr="00005598">
        <w:rPr>
          <w:rFonts w:ascii="Times New Roman" w:hAnsi="Times New Roman" w:cs="Times New Roman"/>
          <w:sz w:val="24"/>
          <w:szCs w:val="24"/>
        </w:rPr>
        <w:t>Тадеуша</w:t>
      </w:r>
      <w:proofErr w:type="spellEnd"/>
      <w:r w:rsidR="005B65A7" w:rsidRPr="00005598">
        <w:rPr>
          <w:rFonts w:ascii="Times New Roman" w:hAnsi="Times New Roman" w:cs="Times New Roman"/>
          <w:sz w:val="24"/>
          <w:szCs w:val="24"/>
        </w:rPr>
        <w:t xml:space="preserve"> Костюшки «</w:t>
      </w:r>
      <w:proofErr w:type="spellStart"/>
      <w:r w:rsidR="005B65A7" w:rsidRPr="00005598">
        <w:rPr>
          <w:rFonts w:ascii="Times New Roman" w:hAnsi="Times New Roman" w:cs="Times New Roman"/>
          <w:sz w:val="24"/>
          <w:szCs w:val="24"/>
        </w:rPr>
        <w:t>Краковская</w:t>
      </w:r>
      <w:proofErr w:type="spellEnd"/>
      <w:r w:rsidR="005B65A7" w:rsidRPr="00005598">
        <w:rPr>
          <w:rFonts w:ascii="Times New Roman" w:hAnsi="Times New Roman" w:cs="Times New Roman"/>
          <w:sz w:val="24"/>
          <w:szCs w:val="24"/>
        </w:rPr>
        <w:t xml:space="preserve"> Политехника»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5A7" w:rsidRPr="00005598">
        <w:rPr>
          <w:rFonts w:ascii="Times New Roman" w:hAnsi="Times New Roman" w:cs="Times New Roman"/>
          <w:sz w:val="24"/>
          <w:szCs w:val="24"/>
          <w:lang w:val="en-US"/>
        </w:rPr>
        <w:t>SCAD</w:t>
      </w:r>
      <w:r w:rsidR="005B65A7" w:rsidRPr="00005598">
        <w:rPr>
          <w:rFonts w:ascii="Times New Roman" w:hAnsi="Times New Roman" w:cs="Times New Roman"/>
          <w:sz w:val="24"/>
          <w:szCs w:val="24"/>
        </w:rPr>
        <w:t xml:space="preserve"> </w:t>
      </w:r>
      <w:r w:rsidR="005B65A7" w:rsidRPr="00005598">
        <w:rPr>
          <w:rFonts w:ascii="Times New Roman" w:hAnsi="Times New Roman" w:cs="Times New Roman"/>
          <w:sz w:val="24"/>
          <w:szCs w:val="24"/>
          <w:lang w:val="en-US"/>
        </w:rPr>
        <w:t>Soft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5598" w:rsidRPr="00005598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F26" w:rsidRDefault="00641F26" w:rsidP="0000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EB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блочный метод сопряженных градиентов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предобуславливанием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неполной факторизации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определения частот и форм собственных колебаний расчетных моделей большой размерности, возникающих при применении метода конечных элементов к задачам строительной механики и механики деформируемого твердого тела.</w:t>
      </w:r>
    </w:p>
    <w:p w:rsidR="00356AE7" w:rsidRDefault="00356AE7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9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598">
        <w:rPr>
          <w:rFonts w:ascii="Times New Roman" w:hAnsi="Times New Roman" w:cs="Times New Roman"/>
          <w:sz w:val="24"/>
          <w:szCs w:val="24"/>
        </w:rPr>
        <w:t xml:space="preserve">метод конечных элементов, обобщенная проблема на собственные значения, метод сопряженных градиентов, </w:t>
      </w:r>
      <w:proofErr w:type="spellStart"/>
      <w:r w:rsidRPr="00005598">
        <w:rPr>
          <w:rFonts w:ascii="Times New Roman" w:hAnsi="Times New Roman" w:cs="Times New Roman"/>
          <w:sz w:val="24"/>
          <w:szCs w:val="24"/>
        </w:rPr>
        <w:t>предобуславливание</w:t>
      </w:r>
      <w:proofErr w:type="spellEnd"/>
      <w:r w:rsidRPr="0000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598">
        <w:rPr>
          <w:rFonts w:ascii="Times New Roman" w:hAnsi="Times New Roman" w:cs="Times New Roman"/>
          <w:sz w:val="24"/>
          <w:szCs w:val="24"/>
        </w:rPr>
        <w:t>многопоточность</w:t>
      </w:r>
      <w:proofErr w:type="spellEnd"/>
      <w:r w:rsidRPr="00005598">
        <w:rPr>
          <w:rFonts w:ascii="Times New Roman" w:hAnsi="Times New Roman" w:cs="Times New Roman"/>
          <w:sz w:val="24"/>
          <w:szCs w:val="24"/>
        </w:rPr>
        <w:t>.</w:t>
      </w:r>
    </w:p>
    <w:p w:rsidR="00005598" w:rsidRPr="00005598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AA" w:rsidRDefault="00976C2B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в большинстве программных комплексов </w:t>
      </w:r>
      <w:r w:rsidR="006463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38C">
        <w:rPr>
          <w:rFonts w:ascii="Times New Roman" w:hAnsi="Times New Roman" w:cs="Times New Roman"/>
          <w:sz w:val="24"/>
          <w:szCs w:val="24"/>
        </w:rPr>
        <w:t xml:space="preserve">определения частот и форм собственных колебаний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либо блочный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блочный метод итерации в подпространстве, основанные на методе итерации обратной матрицы. Поэтому на каждом шаге </w:t>
      </w:r>
      <w:r w:rsidR="0064638C">
        <w:rPr>
          <w:rFonts w:ascii="Times New Roman" w:hAnsi="Times New Roman" w:cs="Times New Roman"/>
          <w:sz w:val="24"/>
          <w:szCs w:val="24"/>
        </w:rPr>
        <w:t>итерации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решать систему линейных алгебраических уравнений с разреженной симметричной матрицей высокого порядка</w:t>
      </w:r>
      <w:r w:rsidR="005824A0">
        <w:rPr>
          <w:rFonts w:ascii="Times New Roman" w:hAnsi="Times New Roman" w:cs="Times New Roman"/>
          <w:sz w:val="24"/>
          <w:szCs w:val="24"/>
        </w:rPr>
        <w:t>, выполняя прямые и обратные подстановки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4A0">
        <w:rPr>
          <w:rFonts w:ascii="Times New Roman" w:hAnsi="Times New Roman" w:cs="Times New Roman"/>
          <w:sz w:val="24"/>
          <w:szCs w:val="24"/>
        </w:rPr>
        <w:t xml:space="preserve"> Учитывая тот факт, что размер такой матрицы для большеразмерных расчетных моделей превышает объем оперативной памяти для большинства настольных многоядерных компьютеров, факторизованная матрица </w:t>
      </w:r>
      <w:r w:rsidR="0064638C">
        <w:rPr>
          <w:rFonts w:ascii="Times New Roman" w:hAnsi="Times New Roman" w:cs="Times New Roman"/>
          <w:sz w:val="24"/>
          <w:szCs w:val="24"/>
        </w:rPr>
        <w:t xml:space="preserve">жесткости </w:t>
      </w:r>
      <w:r w:rsidR="005824A0">
        <w:rPr>
          <w:rFonts w:ascii="Times New Roman" w:hAnsi="Times New Roman" w:cs="Times New Roman"/>
          <w:sz w:val="24"/>
          <w:szCs w:val="24"/>
        </w:rPr>
        <w:t xml:space="preserve">блоками записывается на диск, а в процессе прямых-обратных подстановок </w:t>
      </w:r>
      <w:r w:rsidR="0064638C">
        <w:rPr>
          <w:rFonts w:ascii="Times New Roman" w:hAnsi="Times New Roman" w:cs="Times New Roman"/>
          <w:sz w:val="24"/>
          <w:szCs w:val="24"/>
        </w:rPr>
        <w:t>эти блоки считываются</w:t>
      </w:r>
      <w:r w:rsidR="005824A0">
        <w:rPr>
          <w:rFonts w:ascii="Times New Roman" w:hAnsi="Times New Roman" w:cs="Times New Roman"/>
          <w:sz w:val="24"/>
          <w:szCs w:val="24"/>
        </w:rPr>
        <w:t xml:space="preserve"> в оперативную память. </w:t>
      </w:r>
      <w:r w:rsidR="005824A0" w:rsidRPr="0064638C">
        <w:rPr>
          <w:rFonts w:ascii="Times New Roman" w:hAnsi="Times New Roman" w:cs="Times New Roman"/>
          <w:i/>
          <w:sz w:val="24"/>
          <w:szCs w:val="24"/>
        </w:rPr>
        <w:t>Поэтому прямые-обратные подстановки для больших задач выполняются со скоростью медленного диска, а не быстрого процессора, что приводит к значительному возрастанию времени вычислений.</w:t>
      </w:r>
    </w:p>
    <w:p w:rsidR="005824A0" w:rsidRDefault="005824A0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альтернативных подходов для определения частот и форм собственных колебаний является метод сопряженных градиентов. Все вычисления происходят в оперативной памяти, однако вследствие плохой обусловленности большинства реальных задач строительной механики</w:t>
      </w:r>
      <w:r w:rsidR="00ED105D">
        <w:rPr>
          <w:rFonts w:ascii="Times New Roman" w:hAnsi="Times New Roman" w:cs="Times New Roman"/>
          <w:sz w:val="24"/>
          <w:szCs w:val="24"/>
        </w:rPr>
        <w:t xml:space="preserve"> классические реализации этого метода приводят как правило к запиранию сходимости.</w:t>
      </w:r>
    </w:p>
    <w:p w:rsidR="00ED105D" w:rsidRPr="00641F26" w:rsidRDefault="00ED105D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предлагаемой работе для обеспечения высокой вычислительной устойчивости метода </w:t>
      </w:r>
      <w:r w:rsidR="00900370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900370">
        <w:rPr>
          <w:rFonts w:ascii="Times New Roman" w:hAnsi="Times New Roman" w:cs="Times New Roman"/>
          <w:sz w:val="24"/>
          <w:szCs w:val="24"/>
        </w:rPr>
        <w:t>предобуславливания</w:t>
      </w:r>
      <w:proofErr w:type="spellEnd"/>
      <w:r w:rsidR="00900370">
        <w:rPr>
          <w:rFonts w:ascii="Times New Roman" w:hAnsi="Times New Roman" w:cs="Times New Roman"/>
          <w:sz w:val="24"/>
          <w:szCs w:val="24"/>
        </w:rPr>
        <w:t xml:space="preserve"> </w:t>
      </w:r>
      <w:r w:rsidR="00900370">
        <w:rPr>
          <w:rFonts w:ascii="Times New Roman" w:hAnsi="Times New Roman" w:cs="Times New Roman"/>
          <w:sz w:val="24"/>
          <w:szCs w:val="24"/>
        </w:rPr>
        <w:fldChar w:fldCharType="begin"/>
      </w:r>
      <w:r w:rsidR="00900370">
        <w:rPr>
          <w:rFonts w:ascii="Times New Roman" w:hAnsi="Times New Roman" w:cs="Times New Roman"/>
          <w:sz w:val="24"/>
          <w:szCs w:val="24"/>
        </w:rPr>
        <w:instrText xml:space="preserve"> REF _Ref415406186 \r \h </w:instrText>
      </w:r>
      <w:r w:rsidR="00900370">
        <w:rPr>
          <w:rFonts w:ascii="Times New Roman" w:hAnsi="Times New Roman" w:cs="Times New Roman"/>
          <w:sz w:val="24"/>
          <w:szCs w:val="24"/>
        </w:rPr>
      </w:r>
      <w:r w:rsidR="00900370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[1]</w:t>
      </w:r>
      <w:r w:rsidR="00900370">
        <w:rPr>
          <w:rFonts w:ascii="Times New Roman" w:hAnsi="Times New Roman" w:cs="Times New Roman"/>
          <w:sz w:val="24"/>
          <w:szCs w:val="24"/>
        </w:rPr>
        <w:fldChar w:fldCharType="end"/>
      </w:r>
      <w:r w:rsidR="00900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D8000A">
        <w:rPr>
          <w:rFonts w:ascii="Times New Roman" w:hAnsi="Times New Roman" w:cs="Times New Roman"/>
          <w:sz w:val="24"/>
          <w:szCs w:val="24"/>
        </w:rPr>
        <w:t>блочная версия</w:t>
      </w:r>
      <w:r>
        <w:rPr>
          <w:rFonts w:ascii="Times New Roman" w:hAnsi="Times New Roman" w:cs="Times New Roman"/>
          <w:sz w:val="24"/>
          <w:szCs w:val="24"/>
        </w:rPr>
        <w:t xml:space="preserve"> неполной факторизации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Холецкого</w:t>
      </w:r>
      <w:proofErr w:type="spellEnd"/>
      <w:r w:rsidR="00900370" w:rsidRPr="00900370">
        <w:rPr>
          <w:rFonts w:ascii="Times New Roman" w:hAnsi="Times New Roman" w:cs="Times New Roman"/>
          <w:sz w:val="24"/>
          <w:szCs w:val="24"/>
        </w:rPr>
        <w:t xml:space="preserve"> </w:t>
      </w:r>
      <w:r w:rsidR="00900370">
        <w:rPr>
          <w:rFonts w:ascii="Times New Roman" w:hAnsi="Times New Roman" w:cs="Times New Roman"/>
          <w:sz w:val="24"/>
          <w:szCs w:val="24"/>
        </w:rPr>
        <w:fldChar w:fldCharType="begin"/>
      </w:r>
      <w:r w:rsidR="00900370">
        <w:rPr>
          <w:rFonts w:ascii="Times New Roman" w:hAnsi="Times New Roman" w:cs="Times New Roman"/>
          <w:sz w:val="24"/>
          <w:szCs w:val="24"/>
        </w:rPr>
        <w:instrText xml:space="preserve"> REF _Ref498021950 \r \h </w:instrText>
      </w:r>
      <w:r w:rsidR="00900370">
        <w:rPr>
          <w:rFonts w:ascii="Times New Roman" w:hAnsi="Times New Roman" w:cs="Times New Roman"/>
          <w:sz w:val="24"/>
          <w:szCs w:val="24"/>
        </w:rPr>
      </w:r>
      <w:r w:rsidR="00900370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[3]</w:t>
      </w:r>
      <w:r w:rsidR="00900370">
        <w:rPr>
          <w:rFonts w:ascii="Times New Roman" w:hAnsi="Times New Roman" w:cs="Times New Roman"/>
          <w:sz w:val="24"/>
          <w:szCs w:val="24"/>
        </w:rPr>
        <w:fldChar w:fldCharType="end"/>
      </w:r>
      <w:r w:rsidR="00DF7C34">
        <w:rPr>
          <w:rFonts w:ascii="Times New Roman" w:hAnsi="Times New Roman" w:cs="Times New Roman"/>
          <w:sz w:val="24"/>
          <w:szCs w:val="24"/>
        </w:rPr>
        <w:t xml:space="preserve">, </w:t>
      </w:r>
      <w:r w:rsidR="00900370">
        <w:rPr>
          <w:rFonts w:ascii="Times New Roman" w:hAnsi="Times New Roman" w:cs="Times New Roman"/>
          <w:sz w:val="24"/>
          <w:szCs w:val="24"/>
        </w:rPr>
        <w:t xml:space="preserve">техника сдвигов </w:t>
      </w:r>
      <w:r w:rsidR="00DF7C34">
        <w:rPr>
          <w:rFonts w:ascii="Times New Roman" w:hAnsi="Times New Roman" w:cs="Times New Roman"/>
          <w:sz w:val="24"/>
          <w:szCs w:val="24"/>
        </w:rPr>
        <w:fldChar w:fldCharType="begin"/>
      </w:r>
      <w:r w:rsidR="00DF7C34">
        <w:rPr>
          <w:rFonts w:ascii="Times New Roman" w:hAnsi="Times New Roman" w:cs="Times New Roman"/>
          <w:sz w:val="24"/>
          <w:szCs w:val="24"/>
        </w:rPr>
        <w:instrText xml:space="preserve"> REF _Ref498021950 \r \h </w:instrText>
      </w:r>
      <w:r w:rsidR="00DF7C34">
        <w:rPr>
          <w:rFonts w:ascii="Times New Roman" w:hAnsi="Times New Roman" w:cs="Times New Roman"/>
          <w:sz w:val="24"/>
          <w:szCs w:val="24"/>
        </w:rPr>
      </w:r>
      <w:r w:rsidR="00DF7C34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[3]</w:t>
      </w:r>
      <w:r w:rsidR="00DF7C34">
        <w:rPr>
          <w:rFonts w:ascii="Times New Roman" w:hAnsi="Times New Roman" w:cs="Times New Roman"/>
          <w:sz w:val="24"/>
          <w:szCs w:val="24"/>
        </w:rPr>
        <w:fldChar w:fldCharType="end"/>
      </w:r>
      <w:r w:rsidR="00DF7C34">
        <w:rPr>
          <w:rFonts w:ascii="Times New Roman" w:hAnsi="Times New Roman" w:cs="Times New Roman"/>
          <w:sz w:val="24"/>
          <w:szCs w:val="24"/>
        </w:rPr>
        <w:t xml:space="preserve">, а также блочная версия метода сопряженных градиентов, основанная на аппроксимации, предложенной в </w:t>
      </w:r>
      <w:r w:rsidR="004C766B">
        <w:rPr>
          <w:rFonts w:ascii="Times New Roman" w:hAnsi="Times New Roman" w:cs="Times New Roman"/>
          <w:sz w:val="24"/>
          <w:szCs w:val="24"/>
        </w:rPr>
        <w:t xml:space="preserve">методе </w:t>
      </w:r>
      <w:r w:rsidR="00DF7C34">
        <w:rPr>
          <w:rFonts w:ascii="Times New Roman" w:hAnsi="Times New Roman" w:cs="Times New Roman"/>
          <w:sz w:val="24"/>
          <w:szCs w:val="24"/>
          <w:lang w:val="en-US"/>
        </w:rPr>
        <w:t>LOBPCG</w:t>
      </w:r>
      <w:r w:rsidR="00DF7C34" w:rsidRPr="00DF7C34">
        <w:rPr>
          <w:rFonts w:ascii="Times New Roman" w:hAnsi="Times New Roman" w:cs="Times New Roman"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sz w:val="24"/>
          <w:szCs w:val="24"/>
        </w:rPr>
        <w:t>(</w:t>
      </w:r>
      <w:r w:rsidR="004C766B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4C766B" w:rsidRPr="004C766B">
        <w:rPr>
          <w:rFonts w:ascii="Times New Roman" w:hAnsi="Times New Roman" w:cs="Times New Roman"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sz w:val="24"/>
          <w:szCs w:val="24"/>
          <w:lang w:val="en-US"/>
        </w:rPr>
        <w:t>Block</w:t>
      </w:r>
      <w:r w:rsidR="004C766B" w:rsidRPr="004C766B">
        <w:rPr>
          <w:rFonts w:ascii="Times New Roman" w:hAnsi="Times New Roman" w:cs="Times New Roman"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sz w:val="24"/>
          <w:szCs w:val="24"/>
          <w:lang w:val="en-US"/>
        </w:rPr>
        <w:t>Preconditioned</w:t>
      </w:r>
      <w:r w:rsidR="004C766B" w:rsidRPr="004C766B">
        <w:rPr>
          <w:rFonts w:ascii="Times New Roman" w:hAnsi="Times New Roman" w:cs="Times New Roman"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sz w:val="24"/>
          <w:szCs w:val="24"/>
          <w:lang w:val="en-US"/>
        </w:rPr>
        <w:t>Conjugate</w:t>
      </w:r>
      <w:r w:rsidR="004C766B" w:rsidRPr="004C766B">
        <w:rPr>
          <w:rFonts w:ascii="Times New Roman" w:hAnsi="Times New Roman" w:cs="Times New Roman"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4C766B">
        <w:rPr>
          <w:rFonts w:ascii="Times New Roman" w:hAnsi="Times New Roman" w:cs="Times New Roman"/>
          <w:sz w:val="24"/>
          <w:szCs w:val="24"/>
        </w:rPr>
        <w:t xml:space="preserve">) </w:t>
      </w:r>
      <w:r w:rsidR="00DF7C34">
        <w:rPr>
          <w:rFonts w:ascii="Times New Roman" w:hAnsi="Times New Roman" w:cs="Times New Roman"/>
          <w:sz w:val="24"/>
          <w:szCs w:val="24"/>
        </w:rPr>
        <w:fldChar w:fldCharType="begin"/>
      </w:r>
      <w:r w:rsidR="00DF7C34">
        <w:rPr>
          <w:rFonts w:ascii="Times New Roman" w:hAnsi="Times New Roman" w:cs="Times New Roman"/>
          <w:sz w:val="24"/>
          <w:szCs w:val="24"/>
        </w:rPr>
        <w:instrText xml:space="preserve"> REF _Ref498023312 \r \h </w:instrText>
      </w:r>
      <w:r w:rsidR="00DF7C34">
        <w:rPr>
          <w:rFonts w:ascii="Times New Roman" w:hAnsi="Times New Roman" w:cs="Times New Roman"/>
          <w:sz w:val="24"/>
          <w:szCs w:val="24"/>
        </w:rPr>
      </w:r>
      <w:r w:rsidR="00DF7C34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[2]</w:t>
      </w:r>
      <w:r w:rsidR="00DF7C34">
        <w:rPr>
          <w:rFonts w:ascii="Times New Roman" w:hAnsi="Times New Roman" w:cs="Times New Roman"/>
          <w:sz w:val="24"/>
          <w:szCs w:val="24"/>
        </w:rPr>
        <w:fldChar w:fldCharType="end"/>
      </w:r>
      <w:r w:rsidR="004C766B" w:rsidRPr="004C766B">
        <w:rPr>
          <w:rFonts w:ascii="Times New Roman" w:hAnsi="Times New Roman" w:cs="Times New Roman"/>
          <w:sz w:val="24"/>
          <w:szCs w:val="24"/>
        </w:rPr>
        <w:t>:</w:t>
      </w:r>
    </w:p>
    <w:p w:rsidR="00ED105D" w:rsidRPr="004C766B" w:rsidRDefault="004C766B" w:rsidP="00005598">
      <w:pPr>
        <w:spacing w:before="120"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C766B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41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85pt;height:63.85pt" o:ole="" filled="t">
            <v:fill color2="black"/>
            <v:imagedata r:id="rId7" o:title=""/>
          </v:shape>
          <o:OLEObject Type="Embed" ProgID="Equation.3" ShapeID="_x0000_i1025" DrawAspect="Content" ObjectID="_157241480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</w:t>
      </w:r>
      <w:r w:rsidRPr="004C766B">
        <w:rPr>
          <w:rFonts w:ascii="Times New Roman" w:hAnsi="Times New Roman" w:cs="Times New Roman"/>
          <w:sz w:val="24"/>
          <w:szCs w:val="24"/>
        </w:rPr>
        <w:t>(1)</w:t>
      </w:r>
    </w:p>
    <w:p w:rsidR="00734488" w:rsidRDefault="004C766B" w:rsidP="000055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C76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4C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6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4C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66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4C766B">
        <w:rPr>
          <w:rFonts w:ascii="Times New Roman" w:hAnsi="Times New Roman" w:cs="Times New Roman"/>
          <w:sz w:val="24"/>
          <w:szCs w:val="24"/>
        </w:rPr>
        <w:t xml:space="preserve"> – </w:t>
      </w:r>
      <w:r w:rsidR="00734488">
        <w:rPr>
          <w:rFonts w:ascii="Times New Roman" w:hAnsi="Times New Roman" w:cs="Times New Roman"/>
          <w:sz w:val="24"/>
          <w:szCs w:val="24"/>
        </w:rPr>
        <w:t xml:space="preserve">аппроксимация </w:t>
      </w:r>
      <w:r>
        <w:rPr>
          <w:rFonts w:ascii="Times New Roman" w:hAnsi="Times New Roman" w:cs="Times New Roman"/>
          <w:sz w:val="24"/>
          <w:szCs w:val="24"/>
        </w:rPr>
        <w:t>вектор</w:t>
      </w:r>
      <w:r w:rsidR="007344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перемещений, </w:t>
      </w:r>
      <w:r w:rsidR="00734488">
        <w:rPr>
          <w:rFonts w:ascii="Times New Roman" w:hAnsi="Times New Roman" w:cs="Times New Roman"/>
          <w:sz w:val="24"/>
          <w:szCs w:val="24"/>
        </w:rPr>
        <w:t>невязки и сопряженного направления для</w:t>
      </w:r>
      <w:r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73448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7344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6B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4C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шаге итерации </w:t>
      </w:r>
      <w:r w:rsidRPr="004C766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66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C76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размерность блока.</w:t>
      </w:r>
      <w:r w:rsidR="00734488">
        <w:rPr>
          <w:rFonts w:ascii="Times New Roman" w:hAnsi="Times New Roman" w:cs="Times New Roman"/>
          <w:sz w:val="24"/>
          <w:szCs w:val="24"/>
        </w:rPr>
        <w:t xml:space="preserve"> На каждом шаге итерации вычисляются проекции матрицы жесткости 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34488" w:rsidRPr="00F3102A">
        <w:rPr>
          <w:rFonts w:ascii="Times New Roman" w:hAnsi="Times New Roman" w:cs="Times New Roman"/>
          <w:sz w:val="24"/>
          <w:szCs w:val="24"/>
        </w:rPr>
        <w:t xml:space="preserve"> = 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4488" w:rsidRPr="00F3102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KQ</w:t>
      </w:r>
      <w:r w:rsidR="00734488">
        <w:rPr>
          <w:rFonts w:ascii="Times New Roman" w:hAnsi="Times New Roman" w:cs="Times New Roman"/>
          <w:sz w:val="24"/>
          <w:szCs w:val="24"/>
        </w:rPr>
        <w:t xml:space="preserve"> и матрицы масс 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34488" w:rsidRPr="00F3102A">
        <w:rPr>
          <w:rFonts w:ascii="Times New Roman" w:hAnsi="Times New Roman" w:cs="Times New Roman"/>
          <w:sz w:val="24"/>
          <w:szCs w:val="24"/>
        </w:rPr>
        <w:t xml:space="preserve"> = 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4488" w:rsidRPr="00F3102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MQ</w:t>
      </w:r>
      <w:r w:rsidR="00734488">
        <w:rPr>
          <w:rFonts w:ascii="Times New Roman" w:hAnsi="Times New Roman" w:cs="Times New Roman"/>
          <w:sz w:val="24"/>
          <w:szCs w:val="24"/>
        </w:rPr>
        <w:t xml:space="preserve"> </w:t>
      </w:r>
      <w:r w:rsidR="00734488" w:rsidRPr="00F3102A">
        <w:rPr>
          <w:rFonts w:ascii="Times New Roman" w:hAnsi="Times New Roman" w:cs="Times New Roman"/>
          <w:sz w:val="24"/>
          <w:szCs w:val="24"/>
        </w:rPr>
        <w:t>(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34488" w:rsidRPr="00F3102A">
        <w:rPr>
          <w:rFonts w:ascii="Times New Roman" w:hAnsi="Times New Roman" w:cs="Times New Roman"/>
          <w:sz w:val="24"/>
          <w:szCs w:val="24"/>
        </w:rPr>
        <w:t xml:space="preserve"> </w:t>
      </w:r>
      <w:r w:rsidR="00734488">
        <w:rPr>
          <w:rFonts w:ascii="Times New Roman" w:hAnsi="Times New Roman" w:cs="Times New Roman"/>
          <w:sz w:val="24"/>
          <w:szCs w:val="24"/>
        </w:rPr>
        <w:t>и</w:t>
      </w:r>
      <w:r w:rsidR="00734488" w:rsidRPr="00F3102A">
        <w:rPr>
          <w:rFonts w:ascii="Times New Roman" w:hAnsi="Times New Roman" w:cs="Times New Roman"/>
          <w:sz w:val="24"/>
          <w:szCs w:val="24"/>
        </w:rPr>
        <w:t xml:space="preserve"> </w:t>
      </w:r>
      <w:r w:rsidR="00734488" w:rsidRPr="00F3102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34488">
        <w:rPr>
          <w:rFonts w:ascii="Times New Roman" w:hAnsi="Times New Roman" w:cs="Times New Roman"/>
          <w:sz w:val="24"/>
          <w:szCs w:val="24"/>
        </w:rPr>
        <w:t xml:space="preserve"> – исходные матрицы жесткости и масс</w:t>
      </w:r>
      <w:r w:rsidR="00734488" w:rsidRPr="00F3102A">
        <w:rPr>
          <w:rFonts w:ascii="Times New Roman" w:hAnsi="Times New Roman" w:cs="Times New Roman"/>
          <w:sz w:val="24"/>
          <w:szCs w:val="24"/>
        </w:rPr>
        <w:t xml:space="preserve">) </w:t>
      </w:r>
      <w:r w:rsidR="00734488">
        <w:rPr>
          <w:rFonts w:ascii="Times New Roman" w:hAnsi="Times New Roman" w:cs="Times New Roman"/>
          <w:sz w:val="24"/>
          <w:szCs w:val="24"/>
        </w:rPr>
        <w:t xml:space="preserve">на подпространство, определяемое системой векторов (1). Здесь </w:t>
      </w:r>
      <w:r w:rsidR="00734488" w:rsidRPr="0014576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4488" w:rsidRPr="00A33F32">
        <w:rPr>
          <w:rFonts w:ascii="Times New Roman" w:hAnsi="Times New Roman" w:cs="Times New Roman"/>
          <w:sz w:val="24"/>
          <w:szCs w:val="24"/>
        </w:rPr>
        <w:t xml:space="preserve"> = {</w:t>
      </w:r>
      <w:proofErr w:type="spellStart"/>
      <w:r w:rsidR="00734488" w:rsidRPr="004C766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4488" w:rsidRPr="00A33F32">
        <w:rPr>
          <w:rFonts w:ascii="Times New Roman" w:hAnsi="Times New Roman" w:cs="Times New Roman"/>
          <w:sz w:val="24"/>
          <w:szCs w:val="24"/>
        </w:rPr>
        <w:t xml:space="preserve">,…, </w:t>
      </w:r>
      <w:proofErr w:type="spellStart"/>
      <w:r w:rsidR="00734488" w:rsidRPr="004C766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73448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48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4488" w:rsidRPr="00A33F32">
        <w:rPr>
          <w:rFonts w:ascii="Times New Roman" w:hAnsi="Times New Roman" w:cs="Times New Roman"/>
          <w:sz w:val="24"/>
          <w:szCs w:val="24"/>
        </w:rPr>
        <w:t xml:space="preserve">,…, </w:t>
      </w:r>
      <w:proofErr w:type="spellStart"/>
      <w:r w:rsidR="0073448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73448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48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4488" w:rsidRPr="00A33F32">
        <w:rPr>
          <w:rFonts w:ascii="Times New Roman" w:hAnsi="Times New Roman" w:cs="Times New Roman"/>
          <w:sz w:val="24"/>
          <w:szCs w:val="24"/>
        </w:rPr>
        <w:t xml:space="preserve">,…, </w:t>
      </w:r>
      <w:proofErr w:type="spellStart"/>
      <w:r w:rsidR="0073448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34488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73448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="00734488" w:rsidRPr="00A33F32">
        <w:rPr>
          <w:rFonts w:ascii="Times New Roman" w:hAnsi="Times New Roman" w:cs="Times New Roman"/>
          <w:sz w:val="24"/>
          <w:szCs w:val="24"/>
        </w:rPr>
        <w:t>}</w:t>
      </w:r>
      <w:r w:rsidR="00734488">
        <w:rPr>
          <w:rFonts w:ascii="Times New Roman" w:hAnsi="Times New Roman" w:cs="Times New Roman"/>
          <w:sz w:val="24"/>
          <w:szCs w:val="24"/>
        </w:rPr>
        <w:t>.</w:t>
      </w:r>
    </w:p>
    <w:p w:rsidR="00ED105D" w:rsidRPr="00145762" w:rsidRDefault="00766E0A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показали наши исследования, </w:t>
      </w:r>
      <w:r w:rsidR="00734488">
        <w:rPr>
          <w:rFonts w:ascii="Times New Roman" w:hAnsi="Times New Roman" w:cs="Times New Roman"/>
          <w:sz w:val="24"/>
          <w:szCs w:val="24"/>
        </w:rPr>
        <w:t xml:space="preserve">как только начинает сходиться первая собственная пара, </w:t>
      </w:r>
      <w:r w:rsidR="00A33F32">
        <w:rPr>
          <w:rFonts w:ascii="Times New Roman" w:hAnsi="Times New Roman" w:cs="Times New Roman"/>
          <w:sz w:val="24"/>
          <w:szCs w:val="24"/>
        </w:rPr>
        <w:t xml:space="preserve">в матрице </w:t>
      </w:r>
      <w:r w:rsidR="00734488" w:rsidRPr="0014576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4488">
        <w:rPr>
          <w:rFonts w:ascii="Times New Roman" w:hAnsi="Times New Roman" w:cs="Times New Roman"/>
          <w:sz w:val="24"/>
          <w:szCs w:val="24"/>
        </w:rPr>
        <w:t xml:space="preserve"> </w:t>
      </w:r>
      <w:r w:rsidR="00A33F32">
        <w:rPr>
          <w:rFonts w:ascii="Times New Roman" w:hAnsi="Times New Roman" w:cs="Times New Roman"/>
          <w:sz w:val="24"/>
          <w:szCs w:val="24"/>
        </w:rPr>
        <w:t xml:space="preserve">появляются линейно зависимые столбцы, что приводит к вычислительной нестабильности </w:t>
      </w:r>
      <w:r w:rsidR="00A33F32">
        <w:rPr>
          <w:rFonts w:ascii="Times New Roman" w:hAnsi="Times New Roman" w:cs="Times New Roman"/>
          <w:sz w:val="24"/>
          <w:szCs w:val="24"/>
          <w:lang w:val="en-US"/>
        </w:rPr>
        <w:t>LOBPCG</w:t>
      </w:r>
      <w:r w:rsidR="00A33F32" w:rsidRPr="00A33F32">
        <w:rPr>
          <w:rFonts w:ascii="Times New Roman" w:hAnsi="Times New Roman" w:cs="Times New Roman"/>
          <w:sz w:val="24"/>
          <w:szCs w:val="24"/>
        </w:rPr>
        <w:t xml:space="preserve"> </w:t>
      </w:r>
      <w:r w:rsidR="00A33F32">
        <w:rPr>
          <w:rFonts w:ascii="Times New Roman" w:hAnsi="Times New Roman" w:cs="Times New Roman"/>
          <w:sz w:val="24"/>
          <w:szCs w:val="24"/>
        </w:rPr>
        <w:t xml:space="preserve">метода. Для стабилизации численного решения </w:t>
      </w:r>
      <w:r w:rsidR="00145762">
        <w:rPr>
          <w:rFonts w:ascii="Times New Roman" w:hAnsi="Times New Roman" w:cs="Times New Roman"/>
          <w:sz w:val="24"/>
          <w:szCs w:val="24"/>
        </w:rPr>
        <w:t xml:space="preserve">мы, </w:t>
      </w:r>
      <w:r w:rsidR="00145762" w:rsidRPr="00145762">
        <w:rPr>
          <w:rFonts w:ascii="Times New Roman" w:hAnsi="Times New Roman" w:cs="Times New Roman"/>
          <w:i/>
          <w:sz w:val="24"/>
          <w:szCs w:val="24"/>
        </w:rPr>
        <w:t>во-первых</w:t>
      </w:r>
      <w:r w:rsidR="00A33F32">
        <w:rPr>
          <w:rFonts w:ascii="Times New Roman" w:hAnsi="Times New Roman" w:cs="Times New Roman"/>
          <w:sz w:val="24"/>
          <w:szCs w:val="24"/>
        </w:rPr>
        <w:t xml:space="preserve">, удерживаем постоянным размерность блока </w:t>
      </w:r>
      <w:r w:rsidR="00A33F32" w:rsidRPr="00641F26">
        <w:rPr>
          <w:rFonts w:ascii="Times New Roman" w:hAnsi="Times New Roman" w:cs="Times New Roman"/>
          <w:i/>
          <w:sz w:val="24"/>
          <w:szCs w:val="24"/>
          <w:lang w:val="pl-PL"/>
        </w:rPr>
        <w:t>m</w:t>
      </w:r>
      <w:r w:rsidR="00A33F32">
        <w:rPr>
          <w:rFonts w:ascii="Times New Roman" w:hAnsi="Times New Roman" w:cs="Times New Roman"/>
          <w:sz w:val="24"/>
          <w:szCs w:val="24"/>
        </w:rPr>
        <w:t xml:space="preserve">, которая не зависит от </w:t>
      </w:r>
      <w:r w:rsidR="00A33F3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требуемых собственных пар, и как только очередная собственная пара </w:t>
      </w:r>
      <w:r w:rsidR="00B4166B" w:rsidRPr="00B4166B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B4166B" w:rsidRPr="00B4166B">
        <w:rPr>
          <w:rFonts w:ascii="Times New Roman" w:hAnsi="Times New Roman" w:cs="Times New Roman"/>
          <w:sz w:val="24"/>
          <w:szCs w:val="24"/>
        </w:rPr>
        <w:t xml:space="preserve"> </w:t>
      </w:r>
      <w:r w:rsidR="00A33F32">
        <w:rPr>
          <w:rFonts w:ascii="Times New Roman" w:hAnsi="Times New Roman" w:cs="Times New Roman"/>
          <w:sz w:val="24"/>
          <w:szCs w:val="24"/>
        </w:rPr>
        <w:t xml:space="preserve">сходится, мы удаляем все соответствующие ей векторы </w:t>
      </w:r>
      <w:proofErr w:type="spellStart"/>
      <w:r w:rsidR="00A33F32" w:rsidRPr="004C76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A33F32" w:rsidRPr="004C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F32" w:rsidRPr="004C766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A33F32" w:rsidRPr="004C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F32" w:rsidRPr="004C766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A33F32" w:rsidRPr="00A33F32">
        <w:rPr>
          <w:rFonts w:ascii="Times New Roman" w:hAnsi="Times New Roman" w:cs="Times New Roman"/>
          <w:sz w:val="24"/>
          <w:szCs w:val="24"/>
        </w:rPr>
        <w:t xml:space="preserve"> </w:t>
      </w:r>
      <w:r w:rsidR="00A33F32">
        <w:rPr>
          <w:rFonts w:ascii="Times New Roman" w:hAnsi="Times New Roman" w:cs="Times New Roman"/>
          <w:sz w:val="24"/>
          <w:szCs w:val="24"/>
        </w:rPr>
        <w:t xml:space="preserve">из блока, заменяем сошедшийся вектор </w:t>
      </w:r>
      <w:proofErr w:type="spellStart"/>
      <w:r w:rsidR="00A33F32" w:rsidRPr="004C76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A33F3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A33F32">
        <w:rPr>
          <w:rFonts w:ascii="Times New Roman" w:hAnsi="Times New Roman" w:cs="Times New Roman"/>
          <w:sz w:val="24"/>
          <w:szCs w:val="24"/>
        </w:rPr>
        <w:t xml:space="preserve"> новым стартовым вектором, доопределяем </w:t>
      </w:r>
      <w:r w:rsidR="00145762">
        <w:rPr>
          <w:rFonts w:ascii="Times New Roman" w:hAnsi="Times New Roman" w:cs="Times New Roman"/>
          <w:sz w:val="24"/>
          <w:szCs w:val="24"/>
        </w:rPr>
        <w:t xml:space="preserve">соответствующие векторы </w:t>
      </w:r>
      <w:proofErr w:type="spellStart"/>
      <w:r w:rsidR="00145762" w:rsidRPr="004C766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14576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14576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145762" w:rsidRPr="004C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762" w:rsidRPr="004C766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45762" w:rsidRPr="004C766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="00145762" w:rsidRPr="004C766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="00145762">
        <w:rPr>
          <w:rFonts w:ascii="Times New Roman" w:hAnsi="Times New Roman" w:cs="Times New Roman"/>
          <w:sz w:val="24"/>
          <w:szCs w:val="24"/>
        </w:rPr>
        <w:t xml:space="preserve"> и продолжаем вычислительный процесс. </w:t>
      </w:r>
      <w:r w:rsidR="00145762" w:rsidRPr="00145762">
        <w:rPr>
          <w:rFonts w:ascii="Times New Roman" w:hAnsi="Times New Roman" w:cs="Times New Roman"/>
          <w:i/>
          <w:sz w:val="24"/>
          <w:szCs w:val="24"/>
        </w:rPr>
        <w:t>Во-вторых</w:t>
      </w:r>
      <w:r w:rsidR="00145762">
        <w:rPr>
          <w:rFonts w:ascii="Times New Roman" w:hAnsi="Times New Roman" w:cs="Times New Roman"/>
          <w:sz w:val="24"/>
          <w:szCs w:val="24"/>
        </w:rPr>
        <w:t xml:space="preserve">, если все-таки столбцы матрицы проекции </w:t>
      </w:r>
      <w:r w:rsidR="00145762" w:rsidRPr="0014576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145762" w:rsidRPr="00145762">
        <w:rPr>
          <w:rFonts w:ascii="Times New Roman" w:hAnsi="Times New Roman" w:cs="Times New Roman"/>
          <w:sz w:val="24"/>
          <w:szCs w:val="24"/>
        </w:rPr>
        <w:t xml:space="preserve"> </w:t>
      </w:r>
      <w:r w:rsidR="00145762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B4166B">
        <w:rPr>
          <w:rFonts w:ascii="Times New Roman" w:hAnsi="Times New Roman" w:cs="Times New Roman"/>
          <w:sz w:val="24"/>
          <w:szCs w:val="24"/>
        </w:rPr>
        <w:t xml:space="preserve">близкими к линейно </w:t>
      </w:r>
      <w:r w:rsidR="00145762">
        <w:rPr>
          <w:rFonts w:ascii="Times New Roman" w:hAnsi="Times New Roman" w:cs="Times New Roman"/>
          <w:sz w:val="24"/>
          <w:szCs w:val="24"/>
        </w:rPr>
        <w:t xml:space="preserve">зависимым, производится </w:t>
      </w:r>
      <w:proofErr w:type="spellStart"/>
      <w:r w:rsidR="00145762">
        <w:rPr>
          <w:rFonts w:ascii="Times New Roman" w:hAnsi="Times New Roman" w:cs="Times New Roman"/>
          <w:sz w:val="24"/>
          <w:szCs w:val="24"/>
        </w:rPr>
        <w:t>реортогонализация</w:t>
      </w:r>
      <w:proofErr w:type="spellEnd"/>
      <w:r w:rsidR="00145762">
        <w:rPr>
          <w:rFonts w:ascii="Times New Roman" w:hAnsi="Times New Roman" w:cs="Times New Roman"/>
          <w:sz w:val="24"/>
          <w:szCs w:val="24"/>
        </w:rPr>
        <w:t xml:space="preserve"> всех столбцов</w:t>
      </w:r>
      <w:r w:rsidR="00B4166B">
        <w:rPr>
          <w:rFonts w:ascii="Times New Roman" w:hAnsi="Times New Roman" w:cs="Times New Roman"/>
          <w:sz w:val="24"/>
          <w:szCs w:val="24"/>
        </w:rPr>
        <w:t xml:space="preserve"> </w:t>
      </w:r>
      <w:r w:rsidR="00B4166B">
        <w:rPr>
          <w:rFonts w:ascii="Times New Roman" w:hAnsi="Times New Roman" w:cs="Times New Roman"/>
          <w:sz w:val="24"/>
          <w:szCs w:val="24"/>
        </w:rPr>
        <w:fldChar w:fldCharType="begin"/>
      </w:r>
      <w:r w:rsidR="00B4166B">
        <w:rPr>
          <w:rFonts w:ascii="Times New Roman" w:hAnsi="Times New Roman" w:cs="Times New Roman"/>
          <w:sz w:val="24"/>
          <w:szCs w:val="24"/>
        </w:rPr>
        <w:instrText xml:space="preserve"> REF _Ref498021950 \r \h </w:instrText>
      </w:r>
      <w:r w:rsidR="00B4166B">
        <w:rPr>
          <w:rFonts w:ascii="Times New Roman" w:hAnsi="Times New Roman" w:cs="Times New Roman"/>
          <w:sz w:val="24"/>
          <w:szCs w:val="24"/>
        </w:rPr>
      </w:r>
      <w:r w:rsidR="00B4166B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[3]</w:t>
      </w:r>
      <w:r w:rsidR="00B4166B">
        <w:rPr>
          <w:rFonts w:ascii="Times New Roman" w:hAnsi="Times New Roman" w:cs="Times New Roman"/>
          <w:sz w:val="24"/>
          <w:szCs w:val="24"/>
        </w:rPr>
        <w:fldChar w:fldCharType="end"/>
      </w:r>
      <w:r w:rsidR="00F3102A">
        <w:rPr>
          <w:rFonts w:ascii="Times New Roman" w:hAnsi="Times New Roman" w:cs="Times New Roman"/>
          <w:sz w:val="24"/>
          <w:szCs w:val="24"/>
        </w:rPr>
        <w:t>, служащих базисом</w:t>
      </w:r>
      <w:r w:rsidR="00145762">
        <w:rPr>
          <w:rFonts w:ascii="Times New Roman" w:hAnsi="Times New Roman" w:cs="Times New Roman"/>
          <w:sz w:val="24"/>
          <w:szCs w:val="24"/>
        </w:rPr>
        <w:t>.</w:t>
      </w:r>
    </w:p>
    <w:p w:rsidR="00ED105D" w:rsidRDefault="00145762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ведущие этапы метода распараллелены на основе многопоточности для архитектуры компьютеров с общей памятью.</w:t>
      </w:r>
      <w:r w:rsidR="003A3AF0" w:rsidRPr="003A3AF0">
        <w:rPr>
          <w:rFonts w:ascii="Times New Roman" w:hAnsi="Times New Roman" w:cs="Times New Roman"/>
          <w:sz w:val="24"/>
          <w:szCs w:val="24"/>
        </w:rPr>
        <w:t xml:space="preserve"> </w:t>
      </w:r>
      <w:r w:rsidR="003A3AF0">
        <w:rPr>
          <w:rFonts w:ascii="Times New Roman" w:hAnsi="Times New Roman" w:cs="Times New Roman"/>
          <w:sz w:val="24"/>
          <w:szCs w:val="24"/>
        </w:rPr>
        <w:t xml:space="preserve">Для расчетной модели многоэтажного здания, содержащей </w:t>
      </w:r>
      <w:r w:rsidR="003A3AF0" w:rsidRPr="003A3AF0">
        <w:rPr>
          <w:rFonts w:ascii="Times New Roman" w:hAnsi="Times New Roman" w:cs="Times New Roman"/>
          <w:sz w:val="24"/>
          <w:szCs w:val="24"/>
        </w:rPr>
        <w:t>2 989 476</w:t>
      </w:r>
      <w:r w:rsidR="003A3AF0">
        <w:rPr>
          <w:rFonts w:ascii="Times New Roman" w:hAnsi="Times New Roman" w:cs="Times New Roman"/>
          <w:sz w:val="24"/>
          <w:szCs w:val="24"/>
        </w:rPr>
        <w:t xml:space="preserve"> уравнений, определя</w:t>
      </w:r>
      <w:r w:rsidR="00B4166B">
        <w:rPr>
          <w:rFonts w:ascii="Times New Roman" w:hAnsi="Times New Roman" w:cs="Times New Roman"/>
          <w:sz w:val="24"/>
          <w:szCs w:val="24"/>
        </w:rPr>
        <w:t>ется</w:t>
      </w:r>
      <w:r w:rsidR="003A3AF0">
        <w:rPr>
          <w:rFonts w:ascii="Times New Roman" w:hAnsi="Times New Roman" w:cs="Times New Roman"/>
          <w:sz w:val="24"/>
          <w:szCs w:val="24"/>
        </w:rPr>
        <w:t xml:space="preserve"> 100 собственных пар при размерности блока </w:t>
      </w:r>
      <w:r w:rsidR="003A3AF0" w:rsidRPr="003A3AF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3A3AF0" w:rsidRPr="003A3AF0">
        <w:rPr>
          <w:rFonts w:ascii="Times New Roman" w:hAnsi="Times New Roman" w:cs="Times New Roman"/>
          <w:sz w:val="24"/>
          <w:szCs w:val="24"/>
        </w:rPr>
        <w:t xml:space="preserve"> = 32. </w:t>
      </w:r>
      <w:r w:rsidR="003A3AF0">
        <w:rPr>
          <w:rFonts w:ascii="Times New Roman" w:hAnsi="Times New Roman" w:cs="Times New Roman"/>
          <w:sz w:val="24"/>
          <w:szCs w:val="24"/>
        </w:rPr>
        <w:t>Грунт моделир</w:t>
      </w:r>
      <w:r w:rsidR="00B4166B">
        <w:rPr>
          <w:rFonts w:ascii="Times New Roman" w:hAnsi="Times New Roman" w:cs="Times New Roman"/>
          <w:sz w:val="24"/>
          <w:szCs w:val="24"/>
        </w:rPr>
        <w:t>уется</w:t>
      </w:r>
      <w:r w:rsidR="003A3AF0">
        <w:rPr>
          <w:rFonts w:ascii="Times New Roman" w:hAnsi="Times New Roman" w:cs="Times New Roman"/>
          <w:sz w:val="24"/>
          <w:szCs w:val="24"/>
        </w:rPr>
        <w:t xml:space="preserve"> объемными конечными элементами, которые порождают подматрицы относительно высокой плотности в разреженной глобальной матрице</w:t>
      </w:r>
      <w:r w:rsidR="00F3102A">
        <w:rPr>
          <w:rFonts w:ascii="Times New Roman" w:hAnsi="Times New Roman" w:cs="Times New Roman"/>
          <w:sz w:val="24"/>
          <w:szCs w:val="24"/>
        </w:rPr>
        <w:t xml:space="preserve"> жесткости</w:t>
      </w:r>
      <w:r w:rsidR="003A3AF0">
        <w:rPr>
          <w:rFonts w:ascii="Times New Roman" w:hAnsi="Times New Roman" w:cs="Times New Roman"/>
          <w:sz w:val="24"/>
          <w:szCs w:val="24"/>
        </w:rPr>
        <w:t xml:space="preserve">, в результате чего объем факторизованной матрицы </w:t>
      </w:r>
      <w:r w:rsidR="00B4166B">
        <w:rPr>
          <w:rFonts w:ascii="Times New Roman" w:hAnsi="Times New Roman" w:cs="Times New Roman"/>
          <w:sz w:val="24"/>
          <w:szCs w:val="24"/>
        </w:rPr>
        <w:t xml:space="preserve">жесткости </w:t>
      </w:r>
      <w:r w:rsidR="003A3AF0">
        <w:rPr>
          <w:rFonts w:ascii="Times New Roman" w:hAnsi="Times New Roman" w:cs="Times New Roman"/>
          <w:sz w:val="24"/>
          <w:szCs w:val="24"/>
        </w:rPr>
        <w:t xml:space="preserve">составляет 36.53 Гб. Задача решалась на компьютере с 16-ядерным процессором </w:t>
      </w:r>
      <w:r w:rsidR="00B4166B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="00B4166B" w:rsidRPr="00B4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27" w:rsidRPr="00D84027">
        <w:rPr>
          <w:rFonts w:ascii="Times New Roman" w:hAnsi="Times New Roman" w:cs="Times New Roman"/>
          <w:sz w:val="24"/>
          <w:szCs w:val="24"/>
        </w:rPr>
        <w:t>Opteron</w:t>
      </w:r>
      <w:proofErr w:type="spellEnd"/>
      <w:r w:rsidR="00D84027" w:rsidRPr="00D84027">
        <w:rPr>
          <w:rFonts w:ascii="Times New Roman" w:hAnsi="Times New Roman" w:cs="Times New Roman"/>
          <w:sz w:val="24"/>
          <w:szCs w:val="24"/>
        </w:rPr>
        <w:t xml:space="preserve"> 6276, 2.3/3.2 </w:t>
      </w:r>
      <w:r w:rsidR="00F3102A">
        <w:rPr>
          <w:rFonts w:ascii="Times New Roman" w:hAnsi="Times New Roman" w:cs="Times New Roman"/>
          <w:sz w:val="24"/>
          <w:szCs w:val="24"/>
        </w:rPr>
        <w:t>ГГц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, 64 </w:t>
      </w:r>
      <w:r w:rsidR="00F3102A">
        <w:rPr>
          <w:rFonts w:ascii="Times New Roman" w:hAnsi="Times New Roman" w:cs="Times New Roman"/>
          <w:sz w:val="24"/>
          <w:szCs w:val="24"/>
        </w:rPr>
        <w:t>Гб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 DDR3 </w:t>
      </w:r>
      <w:r w:rsidR="00F3102A">
        <w:rPr>
          <w:rFonts w:ascii="Times New Roman" w:hAnsi="Times New Roman" w:cs="Times New Roman"/>
          <w:sz w:val="24"/>
          <w:szCs w:val="24"/>
        </w:rPr>
        <w:t>ОП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, </w:t>
      </w:r>
      <w:r w:rsidR="00F3102A" w:rsidRPr="00D84027">
        <w:rPr>
          <w:rFonts w:ascii="Times New Roman" w:hAnsi="Times New Roman" w:cs="Times New Roman"/>
          <w:sz w:val="24"/>
          <w:szCs w:val="24"/>
        </w:rPr>
        <w:t xml:space="preserve">64 </w:t>
      </w:r>
      <w:r w:rsidR="00F3102A">
        <w:rPr>
          <w:rFonts w:ascii="Times New Roman" w:hAnsi="Times New Roman" w:cs="Times New Roman"/>
          <w:sz w:val="24"/>
          <w:szCs w:val="24"/>
        </w:rPr>
        <w:t>разрядная ОС</w:t>
      </w:r>
      <w:r w:rsidR="00D84027">
        <w:rPr>
          <w:rFonts w:ascii="Times New Roman" w:hAnsi="Times New Roman" w:cs="Times New Roman"/>
          <w:sz w:val="24"/>
          <w:szCs w:val="24"/>
        </w:rPr>
        <w:t xml:space="preserve"> </w:t>
      </w:r>
      <w:r w:rsidR="00D84027" w:rsidRPr="00D8402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 </w:t>
      </w:r>
      <w:r w:rsidR="00D84027" w:rsidRPr="00D84027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 2008 </w:t>
      </w:r>
      <w:r w:rsidR="00D84027" w:rsidRPr="00D840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2 </w:t>
      </w:r>
      <w:r w:rsidR="00D84027" w:rsidRPr="00D84027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 </w:t>
      </w:r>
      <w:r w:rsidR="00D84027" w:rsidRPr="00D8402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D84027" w:rsidRPr="00D84027">
        <w:rPr>
          <w:rFonts w:ascii="Times New Roman" w:hAnsi="Times New Roman" w:cs="Times New Roman"/>
          <w:sz w:val="24"/>
          <w:szCs w:val="24"/>
        </w:rPr>
        <w:t>1</w:t>
      </w:r>
      <w:r w:rsidR="00D84027">
        <w:rPr>
          <w:rFonts w:ascii="Times New Roman" w:hAnsi="Times New Roman" w:cs="Times New Roman"/>
          <w:sz w:val="24"/>
          <w:szCs w:val="24"/>
        </w:rPr>
        <w:t xml:space="preserve">. Продолжительность решения предлагаемым подходом составляет 14 552 с, а блочным методом </w:t>
      </w:r>
      <w:proofErr w:type="spellStart"/>
      <w:r w:rsidR="00D84027">
        <w:rPr>
          <w:rFonts w:ascii="Times New Roman" w:hAnsi="Times New Roman" w:cs="Times New Roman"/>
          <w:sz w:val="24"/>
          <w:szCs w:val="24"/>
        </w:rPr>
        <w:t>Ланцоша</w:t>
      </w:r>
      <w:proofErr w:type="spellEnd"/>
      <w:r w:rsidR="00D84027">
        <w:rPr>
          <w:rFonts w:ascii="Times New Roman" w:hAnsi="Times New Roman" w:cs="Times New Roman"/>
          <w:sz w:val="24"/>
          <w:szCs w:val="24"/>
        </w:rPr>
        <w:t xml:space="preserve">, использующим прямой метод для разреженных матриц </w:t>
      </w:r>
      <w:r w:rsidR="00D84027">
        <w:rPr>
          <w:rFonts w:ascii="Times New Roman" w:hAnsi="Times New Roman" w:cs="Times New Roman"/>
          <w:sz w:val="24"/>
          <w:szCs w:val="24"/>
          <w:lang w:val="en-US"/>
        </w:rPr>
        <w:t>PARFES</w:t>
      </w:r>
      <w:r w:rsidR="00D84027" w:rsidRPr="00D84027">
        <w:rPr>
          <w:rFonts w:ascii="Times New Roman" w:hAnsi="Times New Roman" w:cs="Times New Roman"/>
          <w:sz w:val="24"/>
          <w:szCs w:val="24"/>
        </w:rPr>
        <w:t xml:space="preserve"> </w:t>
      </w:r>
      <w:r w:rsidR="00D84027">
        <w:rPr>
          <w:rFonts w:ascii="Times New Roman" w:hAnsi="Times New Roman" w:cs="Times New Roman"/>
          <w:sz w:val="24"/>
          <w:szCs w:val="24"/>
        </w:rPr>
        <w:fldChar w:fldCharType="begin"/>
      </w:r>
      <w:r w:rsidR="00D84027">
        <w:rPr>
          <w:rFonts w:ascii="Times New Roman" w:hAnsi="Times New Roman" w:cs="Times New Roman"/>
          <w:sz w:val="24"/>
          <w:szCs w:val="24"/>
        </w:rPr>
        <w:instrText xml:space="preserve"> REF _Ref415406186 \r \h </w:instrText>
      </w:r>
      <w:r w:rsidR="00D84027">
        <w:rPr>
          <w:rFonts w:ascii="Times New Roman" w:hAnsi="Times New Roman" w:cs="Times New Roman"/>
          <w:sz w:val="24"/>
          <w:szCs w:val="24"/>
        </w:rPr>
      </w:r>
      <w:r w:rsidR="00D84027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[1]</w:t>
      </w:r>
      <w:r w:rsidR="00D84027">
        <w:rPr>
          <w:rFonts w:ascii="Times New Roman" w:hAnsi="Times New Roman" w:cs="Times New Roman"/>
          <w:sz w:val="24"/>
          <w:szCs w:val="24"/>
        </w:rPr>
        <w:fldChar w:fldCharType="end"/>
      </w:r>
      <w:r w:rsidR="00D84027">
        <w:rPr>
          <w:rFonts w:ascii="Times New Roman" w:hAnsi="Times New Roman" w:cs="Times New Roman"/>
          <w:sz w:val="24"/>
          <w:szCs w:val="24"/>
        </w:rPr>
        <w:t xml:space="preserve">, </w:t>
      </w:r>
      <w:r w:rsidR="00D84027">
        <w:rPr>
          <w:rFonts w:ascii="Times New Roman" w:hAnsi="Times New Roman" w:cs="Times New Roman"/>
          <w:sz w:val="24"/>
          <w:szCs w:val="24"/>
        </w:rPr>
        <w:fldChar w:fldCharType="begin"/>
      </w:r>
      <w:r w:rsidR="00D84027">
        <w:rPr>
          <w:rFonts w:ascii="Times New Roman" w:hAnsi="Times New Roman" w:cs="Times New Roman"/>
          <w:sz w:val="24"/>
          <w:szCs w:val="24"/>
        </w:rPr>
        <w:instrText xml:space="preserve"> REF _Ref498021950 \r \h </w:instrText>
      </w:r>
      <w:r w:rsidR="00D84027">
        <w:rPr>
          <w:rFonts w:ascii="Times New Roman" w:hAnsi="Times New Roman" w:cs="Times New Roman"/>
          <w:sz w:val="24"/>
          <w:szCs w:val="24"/>
        </w:rPr>
      </w:r>
      <w:r w:rsidR="00D84027">
        <w:rPr>
          <w:rFonts w:ascii="Times New Roman" w:hAnsi="Times New Roman" w:cs="Times New Roman"/>
          <w:sz w:val="24"/>
          <w:szCs w:val="24"/>
        </w:rPr>
        <w:fldChar w:fldCharType="separate"/>
      </w:r>
      <w:r w:rsidR="007D7926">
        <w:rPr>
          <w:rFonts w:ascii="Times New Roman" w:hAnsi="Times New Roman" w:cs="Times New Roman"/>
          <w:sz w:val="24"/>
          <w:szCs w:val="24"/>
        </w:rPr>
        <w:t>[3]</w:t>
      </w:r>
      <w:r w:rsidR="00D84027">
        <w:rPr>
          <w:rFonts w:ascii="Times New Roman" w:hAnsi="Times New Roman" w:cs="Times New Roman"/>
          <w:sz w:val="24"/>
          <w:szCs w:val="24"/>
        </w:rPr>
        <w:fldChar w:fldCharType="end"/>
      </w:r>
      <w:r w:rsidR="00D84027">
        <w:rPr>
          <w:rFonts w:ascii="Times New Roman" w:hAnsi="Times New Roman" w:cs="Times New Roman"/>
          <w:sz w:val="24"/>
          <w:szCs w:val="24"/>
        </w:rPr>
        <w:t xml:space="preserve"> – 14 096 с в режиме использования только оперативной памяти и 34 660 с при использовании диска (чаще всего</w:t>
      </w:r>
      <w:r w:rsidR="00B4166B" w:rsidRPr="00B4166B">
        <w:rPr>
          <w:rFonts w:ascii="Times New Roman" w:hAnsi="Times New Roman" w:cs="Times New Roman"/>
          <w:sz w:val="24"/>
          <w:szCs w:val="24"/>
        </w:rPr>
        <w:t xml:space="preserve"> </w:t>
      </w:r>
      <w:r w:rsidR="00B4166B">
        <w:rPr>
          <w:rFonts w:ascii="Times New Roman" w:hAnsi="Times New Roman" w:cs="Times New Roman"/>
          <w:sz w:val="24"/>
          <w:szCs w:val="24"/>
        </w:rPr>
        <w:t>это</w:t>
      </w:r>
      <w:r w:rsidR="00D84027">
        <w:rPr>
          <w:rFonts w:ascii="Times New Roman" w:hAnsi="Times New Roman" w:cs="Times New Roman"/>
          <w:sz w:val="24"/>
          <w:szCs w:val="24"/>
        </w:rPr>
        <w:t xml:space="preserve"> единственно доступный режим на серийных настольных компьютерах при решении задач большой размерности). Таким образом, если при решении блочным методом </w:t>
      </w:r>
      <w:proofErr w:type="spellStart"/>
      <w:r w:rsidR="00D84027">
        <w:rPr>
          <w:rFonts w:ascii="Times New Roman" w:hAnsi="Times New Roman" w:cs="Times New Roman"/>
          <w:sz w:val="24"/>
          <w:szCs w:val="24"/>
        </w:rPr>
        <w:t>Ланцоша</w:t>
      </w:r>
      <w:proofErr w:type="spellEnd"/>
      <w:r w:rsidR="00D84027">
        <w:rPr>
          <w:rFonts w:ascii="Times New Roman" w:hAnsi="Times New Roman" w:cs="Times New Roman"/>
          <w:sz w:val="24"/>
          <w:szCs w:val="24"/>
        </w:rPr>
        <w:t xml:space="preserve"> задача целиком помещается в оперативную память, то предлагаемый подход демонстрирует примерно такую же производительность, </w:t>
      </w:r>
      <w:r w:rsidR="007D7926">
        <w:rPr>
          <w:rFonts w:ascii="Times New Roman" w:hAnsi="Times New Roman" w:cs="Times New Roman"/>
          <w:sz w:val="24"/>
          <w:szCs w:val="24"/>
        </w:rPr>
        <w:t>как</w:t>
      </w:r>
      <w:r w:rsidR="00D84027">
        <w:rPr>
          <w:rFonts w:ascii="Times New Roman" w:hAnsi="Times New Roman" w:cs="Times New Roman"/>
          <w:sz w:val="24"/>
          <w:szCs w:val="24"/>
        </w:rPr>
        <w:t xml:space="preserve"> и блочный метод </w:t>
      </w:r>
      <w:proofErr w:type="spellStart"/>
      <w:r w:rsidR="00D84027">
        <w:rPr>
          <w:rFonts w:ascii="Times New Roman" w:hAnsi="Times New Roman" w:cs="Times New Roman"/>
          <w:sz w:val="24"/>
          <w:szCs w:val="24"/>
        </w:rPr>
        <w:t>Ланцоша</w:t>
      </w:r>
      <w:proofErr w:type="spellEnd"/>
      <w:r w:rsidR="00D84027">
        <w:rPr>
          <w:rFonts w:ascii="Times New Roman" w:hAnsi="Times New Roman" w:cs="Times New Roman"/>
          <w:sz w:val="24"/>
          <w:szCs w:val="24"/>
        </w:rPr>
        <w:t xml:space="preserve">. В противном случае </w:t>
      </w:r>
      <w:r w:rsidR="00B4166B">
        <w:rPr>
          <w:rFonts w:ascii="Times New Roman" w:hAnsi="Times New Roman" w:cs="Times New Roman"/>
          <w:sz w:val="24"/>
          <w:szCs w:val="24"/>
        </w:rPr>
        <w:t xml:space="preserve">предлагаемый метод </w:t>
      </w:r>
      <w:r w:rsidR="00D84027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630BB4">
        <w:rPr>
          <w:rFonts w:ascii="Times New Roman" w:hAnsi="Times New Roman" w:cs="Times New Roman"/>
          <w:sz w:val="24"/>
          <w:szCs w:val="24"/>
        </w:rPr>
        <w:t>значительно быстрее.</w:t>
      </w:r>
    </w:p>
    <w:p w:rsidR="00005598" w:rsidRPr="00D84027" w:rsidRDefault="00005598" w:rsidP="0000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05D" w:rsidRPr="00005598" w:rsidRDefault="00005598" w:rsidP="00005598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5598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900370" w:rsidRDefault="00ED105D" w:rsidP="0000559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Ref415406186"/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Fialko S. Yu. Iterative methods for solving large-scale problems of structural mechanics using multi-core computers // </w:t>
      </w:r>
      <w:proofErr w:type="spellStart"/>
      <w:r w:rsidRPr="00900370">
        <w:rPr>
          <w:rFonts w:ascii="Times New Roman" w:hAnsi="Times New Roman" w:cs="Times New Roman"/>
          <w:sz w:val="24"/>
          <w:szCs w:val="24"/>
          <w:lang w:val="en-US"/>
        </w:rPr>
        <w:t>Archieves</w:t>
      </w:r>
      <w:proofErr w:type="spellEnd"/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 of Civil and Mechanical Engineering. 2014. Vol. 14</w:t>
      </w:r>
      <w:r w:rsidR="00660C3C" w:rsidRPr="009003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C3C" w:rsidRPr="0090037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0370">
        <w:rPr>
          <w:rFonts w:ascii="Times New Roman" w:hAnsi="Times New Roman" w:cs="Times New Roman"/>
          <w:sz w:val="24"/>
          <w:szCs w:val="24"/>
          <w:lang w:val="en-US"/>
        </w:rPr>
        <w:t>. 190 – 203</w:t>
      </w:r>
      <w:r w:rsidR="00660C3C" w:rsidRPr="009003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tgtFrame="doilink" w:history="1">
        <w:r w:rsidRPr="009003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doi:10.1016/j.acme.2013.05.009</w:t>
        </w:r>
      </w:hyperlink>
      <w:r w:rsidRPr="00900370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0"/>
    </w:p>
    <w:p w:rsidR="00900370" w:rsidRDefault="00660C3C" w:rsidP="0000559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Ref498023312"/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Knyazev A. V., </w:t>
      </w:r>
      <w:proofErr w:type="spellStart"/>
      <w:r w:rsidRPr="00900370">
        <w:rPr>
          <w:rFonts w:ascii="Times New Roman" w:hAnsi="Times New Roman" w:cs="Times New Roman"/>
          <w:sz w:val="24"/>
          <w:szCs w:val="24"/>
          <w:lang w:val="en-US"/>
        </w:rPr>
        <w:t>Neymayr</w:t>
      </w:r>
      <w:proofErr w:type="spellEnd"/>
      <w:r w:rsidRPr="00900370">
        <w:rPr>
          <w:rFonts w:ascii="Times New Roman" w:hAnsi="Times New Roman" w:cs="Times New Roman"/>
          <w:sz w:val="24"/>
          <w:szCs w:val="24"/>
          <w:lang w:val="en-US"/>
        </w:rPr>
        <w:t xml:space="preserve"> K. Efficient solution of symmetric eigenvalue problem using multigrid preconditioners in the locally optimal block conjugate gradient method // Electronic Transactions on Numerical Analysis. 2003. Vol. 15. P. 38 – 55. URL: </w:t>
      </w:r>
      <w:hyperlink r:id="rId10" w:history="1">
        <w:r w:rsidRPr="009003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https://eudml.org/doc/123270</w:t>
        </w:r>
      </w:hyperlink>
      <w:r w:rsidRPr="00900370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"/>
    </w:p>
    <w:p w:rsidR="00ED105D" w:rsidRPr="00B4166B" w:rsidRDefault="00660C3C" w:rsidP="0000559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98021950"/>
      <w:r w:rsidRPr="00B4166B">
        <w:rPr>
          <w:rFonts w:ascii="Times New Roman" w:hAnsi="Times New Roman" w:cs="Times New Roman"/>
          <w:sz w:val="24"/>
          <w:szCs w:val="24"/>
          <w:lang w:val="en-US"/>
        </w:rPr>
        <w:t>Fialko S., Karpilovskyi V. Block subspace projection preconditioned conjugate gradient</w:t>
      </w:r>
      <w:bookmarkEnd w:id="2"/>
      <w:r w:rsidR="00B4166B" w:rsidRPr="00B41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>method for structural modal analysis // Proceedings of the Federated Conference on Computer Science and Information Systems</w:t>
      </w:r>
      <w:r w:rsidR="00D8000A" w:rsidRPr="00B41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 xml:space="preserve"> ISSN</w:t>
      </w:r>
      <w:r w:rsidRPr="00B4166B">
        <w:rPr>
          <w:rFonts w:ascii="Times New Roman" w:hAnsi="Times New Roman" w:cs="Times New Roman"/>
          <w:sz w:val="24"/>
          <w:szCs w:val="24"/>
        </w:rPr>
        <w:t xml:space="preserve"> 2300-5963 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>ACSIS</w:t>
      </w:r>
      <w:r w:rsidR="00D8000A" w:rsidRPr="00B4166B">
        <w:rPr>
          <w:rFonts w:ascii="Times New Roman" w:hAnsi="Times New Roman" w:cs="Times New Roman"/>
          <w:sz w:val="24"/>
          <w:szCs w:val="24"/>
        </w:rPr>
        <w:t>.</w:t>
      </w:r>
      <w:r w:rsidRPr="00B4166B">
        <w:rPr>
          <w:rFonts w:ascii="Times New Roman" w:hAnsi="Times New Roman" w:cs="Times New Roman"/>
          <w:sz w:val="24"/>
          <w:szCs w:val="24"/>
        </w:rPr>
        <w:t xml:space="preserve"> 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4166B">
        <w:rPr>
          <w:rFonts w:ascii="Times New Roman" w:hAnsi="Times New Roman" w:cs="Times New Roman"/>
          <w:sz w:val="24"/>
          <w:szCs w:val="24"/>
        </w:rPr>
        <w:t>. 11</w:t>
      </w:r>
      <w:r w:rsidR="00D8000A" w:rsidRPr="00B4166B">
        <w:rPr>
          <w:rFonts w:ascii="Times New Roman" w:hAnsi="Times New Roman" w:cs="Times New Roman"/>
          <w:sz w:val="24"/>
          <w:szCs w:val="24"/>
        </w:rPr>
        <w:t xml:space="preserve">. </w:t>
      </w:r>
      <w:r w:rsidR="00D8000A" w:rsidRPr="00B416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166B">
        <w:rPr>
          <w:rFonts w:ascii="Times New Roman" w:hAnsi="Times New Roman" w:cs="Times New Roman"/>
          <w:sz w:val="24"/>
          <w:szCs w:val="24"/>
        </w:rPr>
        <w:t>. 497–506</w:t>
      </w:r>
      <w:r w:rsidR="00D8000A" w:rsidRPr="00B4166B">
        <w:rPr>
          <w:rFonts w:ascii="Times New Roman" w:hAnsi="Times New Roman" w:cs="Times New Roman"/>
          <w:sz w:val="24"/>
          <w:szCs w:val="24"/>
        </w:rPr>
        <w:t>.</w:t>
      </w:r>
      <w:r w:rsidRPr="00B4166B">
        <w:rPr>
          <w:rFonts w:ascii="Times New Roman" w:hAnsi="Times New Roman" w:cs="Times New Roman"/>
          <w:sz w:val="24"/>
          <w:szCs w:val="24"/>
        </w:rPr>
        <w:t xml:space="preserve"> 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B4166B">
        <w:rPr>
          <w:rFonts w:ascii="Times New Roman" w:hAnsi="Times New Roman" w:cs="Times New Roman"/>
          <w:sz w:val="24"/>
          <w:szCs w:val="24"/>
        </w:rPr>
        <w:t>: 10.15439/2017</w:t>
      </w:r>
      <w:r w:rsidRPr="00B4166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166B">
        <w:rPr>
          <w:rFonts w:ascii="Times New Roman" w:hAnsi="Times New Roman" w:cs="Times New Roman"/>
          <w:sz w:val="24"/>
          <w:szCs w:val="24"/>
        </w:rPr>
        <w:t>64</w:t>
      </w:r>
      <w:r w:rsidR="00D8000A" w:rsidRPr="00B41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98" w:rsidRDefault="00005598" w:rsidP="000055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98" w:rsidRDefault="00005598" w:rsidP="000055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98" w:rsidRPr="00005598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BEB">
        <w:rPr>
          <w:rFonts w:ascii="Times New Roman" w:hAnsi="Times New Roman" w:cs="Times New Roman"/>
          <w:b/>
          <w:sz w:val="24"/>
          <w:szCs w:val="24"/>
          <w:lang w:val="en-US"/>
        </w:rPr>
        <w:t>APPLICATION OF THE BLOCK PRECONDITIONED CONJUGATE GRADIENT METHOD FOR EXTRACTION OF THE NATURAL VIBRATION FREQUENCIES AND MODES IN SEISMIC ANALYSIS OF BUILDINGS AND STR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UCTURES ON MULTI-CORE COMPUTERS</w:t>
      </w:r>
    </w:p>
    <w:p w:rsidR="00005598" w:rsidRPr="00005598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5598" w:rsidRPr="00005598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5598">
        <w:rPr>
          <w:rFonts w:ascii="Times New Roman" w:hAnsi="Times New Roman" w:cs="Times New Roman"/>
          <w:sz w:val="24"/>
          <w:szCs w:val="24"/>
          <w:lang w:val="en-US"/>
        </w:rPr>
        <w:t xml:space="preserve">S. Yu. </w:t>
      </w:r>
      <w:proofErr w:type="spellStart"/>
      <w:r w:rsidRPr="00005598">
        <w:rPr>
          <w:rFonts w:ascii="Times New Roman" w:hAnsi="Times New Roman" w:cs="Times New Roman"/>
          <w:sz w:val="24"/>
          <w:szCs w:val="24"/>
          <w:lang w:val="en-US"/>
        </w:rPr>
        <w:t>Fialko</w:t>
      </w:r>
      <w:proofErr w:type="spellEnd"/>
      <w:r w:rsidRPr="00005598">
        <w:rPr>
          <w:rFonts w:ascii="Times New Roman" w:hAnsi="Times New Roman" w:cs="Times New Roman"/>
          <w:sz w:val="24"/>
          <w:szCs w:val="24"/>
          <w:lang w:val="en-US"/>
        </w:rPr>
        <w:t xml:space="preserve">, dr. hab. </w:t>
      </w:r>
      <w:proofErr w:type="spellStart"/>
      <w:r w:rsidRPr="00005598">
        <w:rPr>
          <w:rFonts w:ascii="Times New Roman" w:hAnsi="Times New Roman" w:cs="Times New Roman"/>
          <w:sz w:val="24"/>
          <w:szCs w:val="24"/>
          <w:lang w:val="en-US"/>
        </w:rPr>
        <w:t>eng.</w:t>
      </w:r>
      <w:proofErr w:type="spellEnd"/>
      <w:r w:rsidRPr="00005598">
        <w:rPr>
          <w:rFonts w:ascii="Times New Roman" w:hAnsi="Times New Roman" w:cs="Times New Roman"/>
          <w:sz w:val="24"/>
          <w:szCs w:val="24"/>
          <w:lang w:val="en-US"/>
        </w:rPr>
        <w:t>, senior researcher.</w:t>
      </w:r>
    </w:p>
    <w:p w:rsidR="00005598" w:rsidRPr="00005598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5598">
        <w:rPr>
          <w:rFonts w:ascii="Times New Roman" w:hAnsi="Times New Roman" w:cs="Times New Roman"/>
          <w:sz w:val="24"/>
          <w:szCs w:val="24"/>
          <w:lang w:val="en-US"/>
        </w:rPr>
        <w:t xml:space="preserve">Prof. Tadeusz </w:t>
      </w:r>
      <w:proofErr w:type="spellStart"/>
      <w:r w:rsidRPr="00005598">
        <w:rPr>
          <w:rFonts w:ascii="Times New Roman" w:hAnsi="Times New Roman" w:cs="Times New Roman"/>
          <w:sz w:val="24"/>
          <w:szCs w:val="24"/>
          <w:lang w:val="en-US"/>
        </w:rPr>
        <w:t>Kościuszko</w:t>
      </w:r>
      <w:proofErr w:type="spellEnd"/>
      <w:r w:rsidRPr="00005598">
        <w:rPr>
          <w:rFonts w:ascii="Times New Roman" w:hAnsi="Times New Roman" w:cs="Times New Roman"/>
          <w:sz w:val="24"/>
          <w:szCs w:val="24"/>
          <w:lang w:val="en-US"/>
        </w:rPr>
        <w:t xml:space="preserve"> Cracow University of Technology</w:t>
      </w:r>
    </w:p>
    <w:p w:rsidR="00005598" w:rsidRPr="00801C6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5598">
        <w:rPr>
          <w:rFonts w:ascii="Times New Roman" w:hAnsi="Times New Roman" w:cs="Times New Roman"/>
          <w:sz w:val="24"/>
          <w:szCs w:val="24"/>
          <w:lang w:val="en-US"/>
        </w:rPr>
        <w:t>&amp; Scientific Adviser of SCAD Soft IT company.</w:t>
      </w:r>
    </w:p>
    <w:p w:rsidR="00005598" w:rsidRPr="00801C6B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5598" w:rsidRPr="00801C6B" w:rsidRDefault="00005598" w:rsidP="0000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EB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r w:rsidRPr="00641F26">
        <w:rPr>
          <w:rFonts w:ascii="Times New Roman" w:hAnsi="Times New Roman" w:cs="Times New Roman"/>
          <w:sz w:val="24"/>
          <w:szCs w:val="24"/>
          <w:lang w:val="en-US"/>
        </w:rPr>
        <w:t xml:space="preserve"> A block conjugate gradient method with incomplete </w:t>
      </w:r>
      <w:proofErr w:type="spellStart"/>
      <w:r w:rsidRPr="00641F26">
        <w:rPr>
          <w:rFonts w:ascii="Times New Roman" w:hAnsi="Times New Roman" w:cs="Times New Roman"/>
          <w:sz w:val="24"/>
          <w:szCs w:val="24"/>
          <w:lang w:val="en-US"/>
        </w:rPr>
        <w:t>Cholesky</w:t>
      </w:r>
      <w:proofErr w:type="spellEnd"/>
      <w:r w:rsidRPr="00641F26">
        <w:rPr>
          <w:rFonts w:ascii="Times New Roman" w:hAnsi="Times New Roman" w:cs="Times New Roman"/>
          <w:sz w:val="24"/>
          <w:szCs w:val="24"/>
          <w:lang w:val="en-US"/>
        </w:rPr>
        <w:t xml:space="preserve"> factorization </w:t>
      </w:r>
      <w:r>
        <w:rPr>
          <w:rFonts w:ascii="Times New Roman" w:hAnsi="Times New Roman" w:cs="Times New Roman"/>
          <w:sz w:val="24"/>
          <w:szCs w:val="24"/>
          <w:lang w:val="en-US"/>
        </w:rPr>
        <w:t>preconditioning</w:t>
      </w:r>
      <w:r w:rsidRPr="00641F2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extracting the natural vibration </w:t>
      </w:r>
      <w:r w:rsidRPr="00641F26">
        <w:rPr>
          <w:rFonts w:ascii="Times New Roman" w:hAnsi="Times New Roman" w:cs="Times New Roman"/>
          <w:sz w:val="24"/>
          <w:szCs w:val="24"/>
          <w:lang w:val="en-US"/>
        </w:rPr>
        <w:t xml:space="preserve">frequencies and </w:t>
      </w:r>
      <w:r>
        <w:rPr>
          <w:rFonts w:ascii="Times New Roman" w:hAnsi="Times New Roman" w:cs="Times New Roman"/>
          <w:sz w:val="24"/>
          <w:szCs w:val="24"/>
          <w:lang w:val="en-US"/>
        </w:rPr>
        <w:t>modes</w:t>
      </w:r>
      <w:r w:rsidRPr="00641F26">
        <w:rPr>
          <w:rFonts w:ascii="Times New Roman" w:hAnsi="Times New Roman" w:cs="Times New Roman"/>
          <w:sz w:val="24"/>
          <w:szCs w:val="24"/>
          <w:lang w:val="en-US"/>
        </w:rPr>
        <w:t xml:space="preserve"> of computational models of large dimension that arise when the finite element method is applied to the problems of structural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solid </w:t>
      </w:r>
      <w:r w:rsidRPr="00641F26">
        <w:rPr>
          <w:rFonts w:ascii="Times New Roman" w:hAnsi="Times New Roman" w:cs="Times New Roman"/>
          <w:sz w:val="24"/>
          <w:szCs w:val="24"/>
          <w:lang w:val="en-US"/>
        </w:rPr>
        <w:t>mechanics is presented.</w:t>
      </w:r>
    </w:p>
    <w:p w:rsidR="00005598" w:rsidRPr="00801C6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55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 words:</w:t>
      </w:r>
      <w:r w:rsidRPr="00DF7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598">
        <w:rPr>
          <w:rFonts w:ascii="Times New Roman" w:hAnsi="Times New Roman" w:cs="Times New Roman"/>
          <w:sz w:val="24"/>
          <w:szCs w:val="24"/>
          <w:lang w:val="en-US"/>
        </w:rPr>
        <w:t>finite element method, eigenvalue problem, conjugate gradient method, preconditioning, multithreading.</w:t>
      </w:r>
      <w:bookmarkStart w:id="3" w:name="_GoBack"/>
      <w:bookmarkEnd w:id="3"/>
    </w:p>
    <w:sectPr w:rsidR="00005598" w:rsidRPr="0080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46C5"/>
    <w:multiLevelType w:val="hybridMultilevel"/>
    <w:tmpl w:val="6584E66E"/>
    <w:lvl w:ilvl="0" w:tplc="26169EB4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MrawMDC0NDAztzRV0lEKTi0uzszPAykwqQUAlSjDdywAAAA="/>
  </w:docVars>
  <w:rsids>
    <w:rsidRoot w:val="004E49A7"/>
    <w:rsid w:val="00005598"/>
    <w:rsid w:val="000326C6"/>
    <w:rsid w:val="00145762"/>
    <w:rsid w:val="00356AE7"/>
    <w:rsid w:val="003A3AF0"/>
    <w:rsid w:val="004A6CC7"/>
    <w:rsid w:val="004C766B"/>
    <w:rsid w:val="004E49A7"/>
    <w:rsid w:val="005824A0"/>
    <w:rsid w:val="005B65A7"/>
    <w:rsid w:val="00630BB4"/>
    <w:rsid w:val="00641F26"/>
    <w:rsid w:val="0064638C"/>
    <w:rsid w:val="00660C3C"/>
    <w:rsid w:val="00734488"/>
    <w:rsid w:val="00766E0A"/>
    <w:rsid w:val="007D7926"/>
    <w:rsid w:val="00801C6B"/>
    <w:rsid w:val="00900370"/>
    <w:rsid w:val="00976C2B"/>
    <w:rsid w:val="00A33F32"/>
    <w:rsid w:val="00A803BE"/>
    <w:rsid w:val="00B4166B"/>
    <w:rsid w:val="00B82BEB"/>
    <w:rsid w:val="00D448AA"/>
    <w:rsid w:val="00D8000A"/>
    <w:rsid w:val="00D84027"/>
    <w:rsid w:val="00DF6F49"/>
    <w:rsid w:val="00DF7C34"/>
    <w:rsid w:val="00E37850"/>
    <w:rsid w:val="00ED105D"/>
    <w:rsid w:val="00F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05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660C3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0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05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660C3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0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dml.org/doc/123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acme.2013.05.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298D-19A4-4025-B764-CBA05F2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2017-11-12T11:23:00Z</cp:lastPrinted>
  <dcterms:created xsi:type="dcterms:W3CDTF">2017-11-09T17:57:00Z</dcterms:created>
  <dcterms:modified xsi:type="dcterms:W3CDTF">2017-11-17T06:07:00Z</dcterms:modified>
</cp:coreProperties>
</file>